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A6DA6" w14:textId="77777777" w:rsidR="00833543" w:rsidRDefault="00833543" w:rsidP="00833543">
      <w:pPr>
        <w:pStyle w:val="Head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16C94947" wp14:editId="20D9D2B1">
            <wp:simplePos x="0" y="0"/>
            <wp:positionH relativeFrom="column">
              <wp:posOffset>2547620</wp:posOffset>
            </wp:positionH>
            <wp:positionV relativeFrom="paragraph">
              <wp:posOffset>-119380</wp:posOffset>
            </wp:positionV>
            <wp:extent cx="1522095" cy="1151255"/>
            <wp:effectExtent l="0" t="0" r="1905" b="0"/>
            <wp:wrapTight wrapText="bothSides">
              <wp:wrapPolygon edited="0">
                <wp:start x="0" y="0"/>
                <wp:lineTo x="0" y="20969"/>
                <wp:lineTo x="21267" y="20969"/>
                <wp:lineTo x="212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D619A" w14:textId="77777777" w:rsidR="00833543" w:rsidRDefault="00833543" w:rsidP="00833543">
      <w:pPr>
        <w:pStyle w:val="Header"/>
        <w:rPr>
          <w:rFonts w:ascii="Book Antiqua" w:hAnsi="Book Antiqua"/>
          <w:b/>
          <w:sz w:val="20"/>
          <w:szCs w:val="20"/>
        </w:rPr>
      </w:pPr>
    </w:p>
    <w:p w14:paraId="1E664B28" w14:textId="77777777" w:rsidR="00833543" w:rsidRDefault="00833543" w:rsidP="00833543">
      <w:pPr>
        <w:pStyle w:val="Header"/>
        <w:rPr>
          <w:rFonts w:ascii="Book Antiqua" w:hAnsi="Book Antiqua"/>
          <w:b/>
          <w:sz w:val="20"/>
          <w:szCs w:val="20"/>
        </w:rPr>
      </w:pPr>
    </w:p>
    <w:p w14:paraId="555DFAD2" w14:textId="77777777" w:rsidR="00833543" w:rsidRDefault="00833543" w:rsidP="00833543">
      <w:pPr>
        <w:pStyle w:val="Header"/>
        <w:rPr>
          <w:rFonts w:ascii="Book Antiqua" w:hAnsi="Book Antiqua"/>
          <w:b/>
          <w:sz w:val="20"/>
          <w:szCs w:val="20"/>
        </w:rPr>
      </w:pPr>
    </w:p>
    <w:p w14:paraId="116C3A76" w14:textId="77777777" w:rsidR="00833543" w:rsidRDefault="00833543" w:rsidP="00833543">
      <w:pPr>
        <w:pStyle w:val="Header"/>
        <w:rPr>
          <w:rFonts w:ascii="Book Antiqua" w:hAnsi="Book Antiqua"/>
          <w:b/>
          <w:sz w:val="20"/>
          <w:szCs w:val="20"/>
        </w:rPr>
      </w:pPr>
    </w:p>
    <w:p w14:paraId="12DEFD7D" w14:textId="77777777" w:rsidR="006C0647" w:rsidRDefault="006C0647" w:rsidP="00A07120">
      <w:pPr>
        <w:pStyle w:val="Header"/>
        <w:rPr>
          <w:rFonts w:ascii="Book Antiqua" w:hAnsi="Book Antiqua"/>
          <w:b/>
          <w:sz w:val="20"/>
          <w:szCs w:val="20"/>
        </w:rPr>
      </w:pPr>
    </w:p>
    <w:p w14:paraId="0FAF6DC5" w14:textId="77777777" w:rsidR="006C0647" w:rsidRDefault="006C0647" w:rsidP="00A07120">
      <w:pPr>
        <w:pStyle w:val="Header"/>
        <w:rPr>
          <w:rFonts w:ascii="Book Antiqua" w:hAnsi="Book Antiqua"/>
          <w:b/>
          <w:sz w:val="20"/>
          <w:szCs w:val="20"/>
        </w:rPr>
      </w:pPr>
    </w:p>
    <w:p w14:paraId="51FF8B33" w14:textId="77777777" w:rsidR="00833543" w:rsidRDefault="00833543" w:rsidP="00A07120">
      <w:pPr>
        <w:pStyle w:val="Header"/>
        <w:rPr>
          <w:rFonts w:ascii="Book Antiqua" w:hAnsi="Book Antiqua"/>
          <w:b/>
          <w:sz w:val="20"/>
          <w:szCs w:val="20"/>
        </w:rPr>
      </w:pPr>
      <w:r w:rsidRPr="00C95E52">
        <w:rPr>
          <w:rFonts w:ascii="Book Antiqua" w:hAnsi="Book Antiqua"/>
          <w:b/>
          <w:sz w:val="20"/>
          <w:szCs w:val="20"/>
        </w:rPr>
        <w:t>Patron: Dame Jacqueline Wilson</w:t>
      </w:r>
    </w:p>
    <w:p w14:paraId="538C14AB" w14:textId="77777777" w:rsidR="00833543" w:rsidRDefault="00833543" w:rsidP="00833543">
      <w:pPr>
        <w:pStyle w:val="Header"/>
        <w:rPr>
          <w:rFonts w:ascii="Book Antiqua" w:hAnsi="Book Antiqua"/>
          <w:b/>
          <w:sz w:val="20"/>
          <w:szCs w:val="20"/>
        </w:rPr>
      </w:pPr>
    </w:p>
    <w:p w14:paraId="4001D63D" w14:textId="77777777" w:rsidR="00833543" w:rsidRDefault="00833543" w:rsidP="0083354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CALL FOR SUBMISSIONS FOR VOLUME 7 OF</w:t>
      </w:r>
    </w:p>
    <w:p w14:paraId="2184AE24" w14:textId="77777777" w:rsidR="00833543" w:rsidRDefault="00833543" w:rsidP="00A07120">
      <w:pPr>
        <w:pStyle w:val="Default"/>
        <w:rPr>
          <w:sz w:val="23"/>
          <w:szCs w:val="23"/>
        </w:rPr>
      </w:pPr>
    </w:p>
    <w:p w14:paraId="7A195598" w14:textId="77777777" w:rsidR="00833543" w:rsidRPr="002F73BA" w:rsidRDefault="00833543" w:rsidP="00833543">
      <w:pPr>
        <w:pStyle w:val="Default"/>
        <w:jc w:val="center"/>
        <w:rPr>
          <w:b/>
          <w:bCs/>
          <w:i/>
          <w:iCs/>
          <w:color w:val="auto"/>
          <w:sz w:val="56"/>
          <w:szCs w:val="56"/>
        </w:rPr>
      </w:pPr>
      <w:r w:rsidRPr="002F73BA">
        <w:rPr>
          <w:b/>
          <w:bCs/>
          <w:i/>
          <w:iCs/>
          <w:color w:val="auto"/>
          <w:sz w:val="56"/>
          <w:szCs w:val="56"/>
        </w:rPr>
        <w:t>Katherine Mansfield Studies</w:t>
      </w:r>
    </w:p>
    <w:p w14:paraId="3A6A6A0C" w14:textId="77777777" w:rsidR="002F73BA" w:rsidRPr="002F73BA" w:rsidRDefault="002F73BA" w:rsidP="002F73BA">
      <w:pPr>
        <w:pStyle w:val="Default"/>
        <w:rPr>
          <w:b/>
          <w:bCs/>
          <w:i/>
          <w:iCs/>
          <w:color w:val="auto"/>
          <w:sz w:val="22"/>
          <w:szCs w:val="22"/>
        </w:rPr>
      </w:pPr>
    </w:p>
    <w:p w14:paraId="1B1A2770" w14:textId="45B3A89B" w:rsidR="00833543" w:rsidRDefault="002F73BA" w:rsidP="0023573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(THE PEER-REVIEWED YEARBOOK OF THE KATHERINE MANSFIELD SOCIETY)</w:t>
      </w:r>
    </w:p>
    <w:p w14:paraId="18580CCA" w14:textId="77777777" w:rsidR="00235735" w:rsidRPr="00235735" w:rsidRDefault="00235735" w:rsidP="00235735">
      <w:pPr>
        <w:pStyle w:val="Default"/>
        <w:jc w:val="center"/>
        <w:rPr>
          <w:b/>
          <w:bCs/>
          <w:sz w:val="22"/>
          <w:szCs w:val="22"/>
        </w:rPr>
      </w:pPr>
    </w:p>
    <w:p w14:paraId="048A87AD" w14:textId="3FB94F62" w:rsidR="00833543" w:rsidRDefault="00833543" w:rsidP="002C7E3F">
      <w:pPr>
        <w:pStyle w:val="Default"/>
        <w:jc w:val="center"/>
        <w:rPr>
          <w:b/>
          <w:bCs/>
          <w:sz w:val="44"/>
          <w:szCs w:val="44"/>
        </w:rPr>
      </w:pPr>
      <w:r w:rsidRPr="002F73BA">
        <w:rPr>
          <w:b/>
          <w:bCs/>
          <w:sz w:val="44"/>
          <w:szCs w:val="44"/>
        </w:rPr>
        <w:t>KATHERINE MANSFIELD AND TRANSLATION</w:t>
      </w:r>
    </w:p>
    <w:p w14:paraId="432728A9" w14:textId="77777777" w:rsidR="002C7E3F" w:rsidRPr="002C7E3F" w:rsidRDefault="002C7E3F" w:rsidP="002C7E3F">
      <w:pPr>
        <w:pStyle w:val="Default"/>
        <w:jc w:val="center"/>
        <w:rPr>
          <w:b/>
          <w:bCs/>
        </w:rPr>
      </w:pPr>
    </w:p>
    <w:p w14:paraId="01DA5CDF" w14:textId="7E891CC5" w:rsidR="009910B3" w:rsidRDefault="009910B3" w:rsidP="002C7E3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Guest Editor: Professor Claire Davison (Sorbonne Nouvelle, Paris)</w:t>
      </w:r>
    </w:p>
    <w:p w14:paraId="6D21AB66" w14:textId="77777777" w:rsidR="002C7E3F" w:rsidRPr="009910B3" w:rsidRDefault="002C7E3F" w:rsidP="002C7E3F">
      <w:pPr>
        <w:pStyle w:val="Default"/>
        <w:jc w:val="center"/>
        <w:rPr>
          <w:b/>
          <w:bCs/>
          <w:sz w:val="28"/>
          <w:szCs w:val="28"/>
        </w:rPr>
      </w:pPr>
    </w:p>
    <w:p w14:paraId="5183A2A2" w14:textId="6E8F44FA" w:rsidR="00833543" w:rsidRDefault="00833543" w:rsidP="00833543">
      <w:pPr>
        <w:pStyle w:val="Default"/>
        <w:jc w:val="both"/>
        <w:rPr>
          <w:bCs/>
        </w:rPr>
      </w:pPr>
      <w:r>
        <w:rPr>
          <w:bCs/>
        </w:rPr>
        <w:t xml:space="preserve">Two books to be published in 2014: Volume 3 of the </w:t>
      </w:r>
      <w:r w:rsidRPr="00833543">
        <w:rPr>
          <w:bCs/>
          <w:i/>
        </w:rPr>
        <w:t xml:space="preserve">Edinburgh Edition of the Collected Works of Katherine Mansfield </w:t>
      </w:r>
      <w:r>
        <w:rPr>
          <w:bCs/>
        </w:rPr>
        <w:t xml:space="preserve">– </w:t>
      </w:r>
      <w:r w:rsidR="00934B6A">
        <w:rPr>
          <w:bCs/>
          <w:i/>
        </w:rPr>
        <w:t>The Poetry and Critical Writing</w:t>
      </w:r>
      <w:r w:rsidR="00934B6A">
        <w:rPr>
          <w:bCs/>
        </w:rPr>
        <w:t>,</w:t>
      </w:r>
      <w:bookmarkStart w:id="0" w:name="_GoBack"/>
      <w:bookmarkEnd w:id="0"/>
      <w:r>
        <w:rPr>
          <w:bCs/>
        </w:rPr>
        <w:t xml:space="preserve"> edited by Gerri Kimber and Angela Smith, and </w:t>
      </w:r>
      <w:r w:rsidRPr="00833543">
        <w:rPr>
          <w:bCs/>
          <w:i/>
        </w:rPr>
        <w:t>Translation as Collaboration: Virginia Woolf, Katherine Mansfield and S.S. Koteliansky</w:t>
      </w:r>
      <w:r>
        <w:rPr>
          <w:bCs/>
        </w:rPr>
        <w:t xml:space="preserve"> by Claire Davison, both reveal the extent to which Katherine Mansfield devoted much of her energy to the process</w:t>
      </w:r>
      <w:r w:rsidR="004F2BB7">
        <w:rPr>
          <w:bCs/>
        </w:rPr>
        <w:t>es</w:t>
      </w:r>
      <w:r>
        <w:rPr>
          <w:bCs/>
        </w:rPr>
        <w:t xml:space="preserve"> of translation. </w:t>
      </w:r>
      <w:r w:rsidR="00C25E4D">
        <w:rPr>
          <w:bCs/>
        </w:rPr>
        <w:t xml:space="preserve">In addition, Mansfield’s own books have been translated into many different languages, with new </w:t>
      </w:r>
      <w:r w:rsidR="00A07120">
        <w:rPr>
          <w:bCs/>
        </w:rPr>
        <w:t>versions appearing all the time –</w:t>
      </w:r>
      <w:r w:rsidR="00C25E4D">
        <w:rPr>
          <w:bCs/>
        </w:rPr>
        <w:t xml:space="preserve"> the latest being a Slovakian edition of her stories translated by </w:t>
      </w:r>
      <w:proofErr w:type="spellStart"/>
      <w:r w:rsidR="00C25E4D">
        <w:rPr>
          <w:bCs/>
        </w:rPr>
        <w:t>Janka</w:t>
      </w:r>
      <w:proofErr w:type="spellEnd"/>
      <w:r w:rsidR="00C25E4D">
        <w:rPr>
          <w:bCs/>
        </w:rPr>
        <w:t xml:space="preserve"> </w:t>
      </w:r>
      <w:proofErr w:type="spellStart"/>
      <w:r w:rsidR="00C25E4D">
        <w:rPr>
          <w:bCs/>
        </w:rPr>
        <w:t>Kascakova</w:t>
      </w:r>
      <w:proofErr w:type="spellEnd"/>
      <w:r w:rsidR="00C25E4D">
        <w:rPr>
          <w:bCs/>
        </w:rPr>
        <w:t>.</w:t>
      </w:r>
    </w:p>
    <w:p w14:paraId="4202EFD4" w14:textId="77777777" w:rsidR="00C25E4D" w:rsidRDefault="00C25E4D" w:rsidP="00833543">
      <w:pPr>
        <w:pStyle w:val="Default"/>
        <w:jc w:val="both"/>
        <w:rPr>
          <w:bCs/>
        </w:rPr>
      </w:pPr>
    </w:p>
    <w:p w14:paraId="05B75CBB" w14:textId="77777777" w:rsidR="00C25E4D" w:rsidRDefault="0088523C" w:rsidP="00833543">
      <w:pPr>
        <w:pStyle w:val="Default"/>
        <w:jc w:val="both"/>
        <w:rPr>
          <w:bCs/>
        </w:rPr>
      </w:pPr>
      <w:r>
        <w:rPr>
          <w:bCs/>
        </w:rPr>
        <w:t>This volume seeks papers that</w:t>
      </w:r>
      <w:r w:rsidR="00C25E4D">
        <w:rPr>
          <w:bCs/>
        </w:rPr>
        <w:t xml:space="preserve"> address all aspects of Katherine </w:t>
      </w:r>
      <w:r>
        <w:rPr>
          <w:bCs/>
        </w:rPr>
        <w:t>Mansfield and translation. Topics might include, but are not limited, to:</w:t>
      </w:r>
    </w:p>
    <w:p w14:paraId="666D14B3" w14:textId="77777777" w:rsidR="0088523C" w:rsidRDefault="0088523C" w:rsidP="00833543">
      <w:pPr>
        <w:pStyle w:val="Default"/>
        <w:jc w:val="both"/>
        <w:rPr>
          <w:bCs/>
        </w:rPr>
      </w:pPr>
    </w:p>
    <w:p w14:paraId="01BFFBA9" w14:textId="77777777" w:rsidR="0088523C" w:rsidRDefault="0088523C" w:rsidP="0088523C">
      <w:pPr>
        <w:pStyle w:val="Default"/>
        <w:numPr>
          <w:ilvl w:val="0"/>
          <w:numId w:val="1"/>
        </w:numPr>
        <w:jc w:val="both"/>
        <w:rPr>
          <w:bCs/>
        </w:rPr>
        <w:sectPr w:rsidR="0088523C" w:rsidSect="00412EB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720" w:right="720" w:bottom="720" w:left="720" w:header="708" w:footer="708" w:gutter="0"/>
          <w:pgBorders>
            <w:top w:val="single" w:sz="48" w:space="1" w:color="548DD4" w:themeColor="text2" w:themeTint="99"/>
            <w:left w:val="single" w:sz="48" w:space="6" w:color="548DD4" w:themeColor="text2" w:themeTint="99"/>
            <w:bottom w:val="single" w:sz="48" w:space="1" w:color="548DD4" w:themeColor="text2" w:themeTint="99"/>
            <w:right w:val="single" w:sz="48" w:space="6" w:color="548DD4" w:themeColor="text2" w:themeTint="99"/>
          </w:pgBorders>
          <w:cols w:space="708"/>
          <w:docGrid w:linePitch="360"/>
        </w:sectPr>
      </w:pPr>
    </w:p>
    <w:p w14:paraId="3D2633B3" w14:textId="77777777" w:rsidR="00833543" w:rsidRDefault="0088523C" w:rsidP="004F2BB7">
      <w:pPr>
        <w:pStyle w:val="Default"/>
        <w:numPr>
          <w:ilvl w:val="0"/>
          <w:numId w:val="1"/>
        </w:numPr>
        <w:rPr>
          <w:bCs/>
        </w:rPr>
      </w:pPr>
      <w:r>
        <w:rPr>
          <w:bCs/>
        </w:rPr>
        <w:lastRenderedPageBreak/>
        <w:t>Mansfield as translator</w:t>
      </w:r>
    </w:p>
    <w:p w14:paraId="7D9A216F" w14:textId="77777777" w:rsidR="0088523C" w:rsidRDefault="0088523C" w:rsidP="004F2BB7">
      <w:pPr>
        <w:pStyle w:val="Default"/>
        <w:numPr>
          <w:ilvl w:val="0"/>
          <w:numId w:val="1"/>
        </w:numPr>
        <w:rPr>
          <w:bCs/>
        </w:rPr>
      </w:pPr>
      <w:r>
        <w:rPr>
          <w:bCs/>
        </w:rPr>
        <w:t>Translating Mansfield</w:t>
      </w:r>
    </w:p>
    <w:p w14:paraId="1D019424" w14:textId="2618AD77" w:rsidR="0088523C" w:rsidRDefault="004F2BB7" w:rsidP="004F2BB7">
      <w:pPr>
        <w:pStyle w:val="Default"/>
        <w:numPr>
          <w:ilvl w:val="0"/>
          <w:numId w:val="1"/>
        </w:numPr>
        <w:rPr>
          <w:bCs/>
        </w:rPr>
      </w:pPr>
      <w:r>
        <w:rPr>
          <w:bCs/>
        </w:rPr>
        <w:t xml:space="preserve">Transformative effects of Mansfield in </w:t>
      </w:r>
      <w:r w:rsidR="0088523C">
        <w:rPr>
          <w:bCs/>
        </w:rPr>
        <w:t xml:space="preserve">translation </w:t>
      </w:r>
    </w:p>
    <w:p w14:paraId="75129C4E" w14:textId="77777777" w:rsidR="0088523C" w:rsidRDefault="0088523C" w:rsidP="004F2BB7">
      <w:pPr>
        <w:pStyle w:val="Default"/>
        <w:numPr>
          <w:ilvl w:val="0"/>
          <w:numId w:val="1"/>
        </w:numPr>
        <w:rPr>
          <w:bCs/>
        </w:rPr>
      </w:pPr>
      <w:r>
        <w:rPr>
          <w:bCs/>
        </w:rPr>
        <w:t>Mansfield reading translations</w:t>
      </w:r>
    </w:p>
    <w:p w14:paraId="66034D1A" w14:textId="77777777" w:rsidR="0088523C" w:rsidRDefault="0088523C" w:rsidP="004F2BB7">
      <w:pPr>
        <w:pStyle w:val="Default"/>
        <w:numPr>
          <w:ilvl w:val="0"/>
          <w:numId w:val="1"/>
        </w:numPr>
        <w:rPr>
          <w:bCs/>
        </w:rPr>
      </w:pPr>
      <w:r>
        <w:rPr>
          <w:bCs/>
        </w:rPr>
        <w:lastRenderedPageBreak/>
        <w:t>Reading Mansfield in translation</w:t>
      </w:r>
    </w:p>
    <w:p w14:paraId="6673DE08" w14:textId="52EB60BB" w:rsidR="004F2BB7" w:rsidRDefault="004F2BB7" w:rsidP="004F2BB7">
      <w:pPr>
        <w:pStyle w:val="Default"/>
        <w:numPr>
          <w:ilvl w:val="0"/>
          <w:numId w:val="1"/>
        </w:numPr>
        <w:rPr>
          <w:bCs/>
        </w:rPr>
      </w:pPr>
      <w:r>
        <w:rPr>
          <w:bCs/>
        </w:rPr>
        <w:t>Mansfield’s translators</w:t>
      </w:r>
    </w:p>
    <w:p w14:paraId="195E54E4" w14:textId="2AEABEBA" w:rsidR="004F2BB7" w:rsidRDefault="004F2BB7" w:rsidP="004F2BB7">
      <w:pPr>
        <w:pStyle w:val="Default"/>
        <w:numPr>
          <w:ilvl w:val="0"/>
          <w:numId w:val="1"/>
        </w:numPr>
        <w:rPr>
          <w:bCs/>
        </w:rPr>
      </w:pPr>
      <w:r>
        <w:rPr>
          <w:bCs/>
        </w:rPr>
        <w:t>Mansfield from a translation theory perspective</w:t>
      </w:r>
    </w:p>
    <w:p w14:paraId="27B1C686" w14:textId="2C17C22F" w:rsidR="0088523C" w:rsidRDefault="004F2BB7" w:rsidP="004F2BB7">
      <w:pPr>
        <w:pStyle w:val="Default"/>
        <w:numPr>
          <w:ilvl w:val="0"/>
          <w:numId w:val="1"/>
        </w:numPr>
        <w:rPr>
          <w:bCs/>
        </w:rPr>
      </w:pPr>
      <w:r>
        <w:rPr>
          <w:bCs/>
        </w:rPr>
        <w:t>Mansfield and her translation collaborators</w:t>
      </w:r>
    </w:p>
    <w:p w14:paraId="6A19C19E" w14:textId="77777777" w:rsidR="0088523C" w:rsidRDefault="0088523C" w:rsidP="0088523C">
      <w:pPr>
        <w:pStyle w:val="Default"/>
        <w:ind w:left="720"/>
        <w:jc w:val="both"/>
        <w:rPr>
          <w:bCs/>
        </w:rPr>
        <w:sectPr w:rsidR="0088523C" w:rsidSect="00412EBA">
          <w:type w:val="continuous"/>
          <w:pgSz w:w="11900" w:h="16840"/>
          <w:pgMar w:top="720" w:right="720" w:bottom="720" w:left="720" w:header="708" w:footer="708" w:gutter="0"/>
          <w:pgBorders>
            <w:top w:val="single" w:sz="48" w:space="1" w:color="548DD4" w:themeColor="text2" w:themeTint="99"/>
            <w:left w:val="single" w:sz="48" w:space="6" w:color="548DD4" w:themeColor="text2" w:themeTint="99"/>
            <w:bottom w:val="single" w:sz="48" w:space="1" w:color="548DD4" w:themeColor="text2" w:themeTint="99"/>
            <w:right w:val="single" w:sz="48" w:space="6" w:color="548DD4" w:themeColor="text2" w:themeTint="99"/>
          </w:pgBorders>
          <w:cols w:num="2" w:space="708"/>
          <w:docGrid w:linePitch="360"/>
        </w:sectPr>
      </w:pPr>
    </w:p>
    <w:p w14:paraId="376D638D" w14:textId="77777777" w:rsidR="00A07120" w:rsidRDefault="00A07120" w:rsidP="00A07120">
      <w:pPr>
        <w:pStyle w:val="Default"/>
        <w:rPr>
          <w:sz w:val="22"/>
          <w:szCs w:val="22"/>
        </w:rPr>
      </w:pPr>
    </w:p>
    <w:p w14:paraId="7A90F98D" w14:textId="0DB606F7" w:rsidR="00A07120" w:rsidRDefault="00A07120" w:rsidP="00A07120">
      <w:pPr>
        <w:pStyle w:val="Default"/>
      </w:pPr>
      <w:r w:rsidRPr="00A07120">
        <w:t>Submissions of between 5000–6000 words (</w:t>
      </w:r>
      <w:r w:rsidRPr="00A07120">
        <w:rPr>
          <w:b/>
          <w:bCs/>
        </w:rPr>
        <w:t xml:space="preserve">inclusive </w:t>
      </w:r>
      <w:r w:rsidRPr="00A07120">
        <w:t>of endnotes), in Word format and using MHRA style</w:t>
      </w:r>
      <w:r w:rsidR="004F2BB7">
        <w:t xml:space="preserve"> formatting</w:t>
      </w:r>
      <w:r w:rsidRPr="00A07120">
        <w:t>, should be emailed to the Guest Editor</w:t>
      </w:r>
      <w:r>
        <w:t xml:space="preserve"> for this volume,</w:t>
      </w:r>
      <w:r w:rsidRPr="00A07120">
        <w:t xml:space="preserve"> Professor Claire Davison</w:t>
      </w:r>
      <w:r>
        <w:t xml:space="preserve">, accompanied by a 50 word biography: </w:t>
      </w:r>
      <w:hyperlink r:id="rId16" w:history="1">
        <w:r w:rsidRPr="00E32C3B">
          <w:rPr>
            <w:rStyle w:val="Hyperlink"/>
          </w:rPr>
          <w:t>kms@katherinemansfieldsociety.org</w:t>
        </w:r>
      </w:hyperlink>
      <w:r>
        <w:t xml:space="preserve"> </w:t>
      </w:r>
    </w:p>
    <w:p w14:paraId="26C2948E" w14:textId="77777777" w:rsidR="00A07120" w:rsidRDefault="00A07120" w:rsidP="00A07120">
      <w:pPr>
        <w:pStyle w:val="Default"/>
      </w:pPr>
    </w:p>
    <w:p w14:paraId="11C9C8A8" w14:textId="77777777" w:rsidR="00A07120" w:rsidRPr="00A07120" w:rsidRDefault="00A07120" w:rsidP="00A07120">
      <w:pPr>
        <w:pStyle w:val="Default"/>
        <w:jc w:val="center"/>
      </w:pPr>
      <w:r w:rsidRPr="00A07120">
        <w:t xml:space="preserve">A detailed </w:t>
      </w:r>
      <w:r w:rsidRPr="00003B6B">
        <w:rPr>
          <w:b/>
        </w:rPr>
        <w:t>MHRA</w:t>
      </w:r>
      <w:r w:rsidRPr="00A07120">
        <w:t xml:space="preserve"> </w:t>
      </w:r>
      <w:r w:rsidRPr="00A07120">
        <w:rPr>
          <w:b/>
          <w:bCs/>
        </w:rPr>
        <w:t xml:space="preserve">style guide </w:t>
      </w:r>
      <w:r w:rsidRPr="00A07120">
        <w:t>is available from the Katherine Mansfield Society website:</w:t>
      </w:r>
    </w:p>
    <w:p w14:paraId="052389EF" w14:textId="77777777" w:rsidR="00A07120" w:rsidRDefault="00D16F53" w:rsidP="00A07120">
      <w:pPr>
        <w:jc w:val="center"/>
      </w:pPr>
      <w:hyperlink r:id="rId17" w:history="1">
        <w:r w:rsidR="00A07120" w:rsidRPr="00A07120">
          <w:rPr>
            <w:rStyle w:val="Hyperlink"/>
            <w:rFonts w:ascii="Times New Roman" w:hAnsi="Times New Roman" w:cs="Times New Roman"/>
          </w:rPr>
          <w:t>http://www.katherinemansfieldsociety.org/yearbook-katherine-mansfield-studies/</w:t>
        </w:r>
      </w:hyperlink>
    </w:p>
    <w:p w14:paraId="2CBA90DE" w14:textId="77777777" w:rsidR="00A07120" w:rsidRPr="00A07120" w:rsidRDefault="00A07120" w:rsidP="00A07120">
      <w:pPr>
        <w:pStyle w:val="Default"/>
        <w:rPr>
          <w:b/>
          <w:bCs/>
        </w:rPr>
      </w:pPr>
    </w:p>
    <w:p w14:paraId="0C5469FF" w14:textId="77777777" w:rsidR="00A07120" w:rsidRPr="00A07120" w:rsidRDefault="00A07120" w:rsidP="00A07120">
      <w:pPr>
        <w:pStyle w:val="Default"/>
        <w:rPr>
          <w:b/>
          <w:bCs/>
        </w:rPr>
      </w:pPr>
      <w:r w:rsidRPr="00A07120">
        <w:rPr>
          <w:b/>
          <w:bCs/>
        </w:rPr>
        <w:t xml:space="preserve">CREATIVE WRITING </w:t>
      </w:r>
    </w:p>
    <w:p w14:paraId="1D730AD8" w14:textId="77777777" w:rsidR="00A07120" w:rsidRPr="00A07120" w:rsidRDefault="00A07120" w:rsidP="00A07120">
      <w:pPr>
        <w:pStyle w:val="Default"/>
      </w:pPr>
    </w:p>
    <w:p w14:paraId="1BF43B77" w14:textId="0399FC48" w:rsidR="002C7E3F" w:rsidRPr="00A07120" w:rsidRDefault="00A07120" w:rsidP="00A07120">
      <w:pPr>
        <w:pStyle w:val="Default"/>
      </w:pPr>
      <w:r w:rsidRPr="00A07120">
        <w:t xml:space="preserve">Pieces of creative writing on the general theme of Katherine Mansfield – poetry, short stories, etc., should be sent to the editors, accompanied by a 50 word biography: </w:t>
      </w:r>
      <w:hyperlink r:id="rId18" w:history="1">
        <w:r w:rsidRPr="00A07120">
          <w:rPr>
            <w:rStyle w:val="Hyperlink"/>
          </w:rPr>
          <w:t>kms@katherinemansfieldsociety.org</w:t>
        </w:r>
      </w:hyperlink>
    </w:p>
    <w:p w14:paraId="45700489" w14:textId="77777777" w:rsidR="002C7E3F" w:rsidRPr="002C7E3F" w:rsidRDefault="002C7E3F" w:rsidP="00A07120">
      <w:pPr>
        <w:pStyle w:val="Default"/>
        <w:jc w:val="center"/>
        <w:rPr>
          <w:b/>
          <w:bCs/>
          <w:sz w:val="18"/>
          <w:szCs w:val="18"/>
        </w:rPr>
      </w:pPr>
    </w:p>
    <w:p w14:paraId="23EB5930" w14:textId="5F74942F" w:rsidR="00A07120" w:rsidRDefault="00A07120" w:rsidP="00A07120">
      <w:pPr>
        <w:pStyle w:val="Default"/>
        <w:jc w:val="center"/>
        <w:rPr>
          <w:b/>
          <w:bCs/>
          <w:sz w:val="32"/>
          <w:szCs w:val="32"/>
        </w:rPr>
      </w:pPr>
      <w:r w:rsidRPr="00A07120">
        <w:rPr>
          <w:b/>
          <w:bCs/>
          <w:sz w:val="32"/>
          <w:szCs w:val="32"/>
        </w:rPr>
        <w:t>DEADLINE FOR SUBMISSIONS: 31 August 2014</w:t>
      </w:r>
    </w:p>
    <w:p w14:paraId="698D384F" w14:textId="77777777" w:rsidR="00235735" w:rsidRDefault="00235735" w:rsidP="00A07120">
      <w:pPr>
        <w:pStyle w:val="Default"/>
        <w:jc w:val="center"/>
        <w:rPr>
          <w:b/>
          <w:bCs/>
          <w:sz w:val="32"/>
          <w:szCs w:val="32"/>
        </w:rPr>
      </w:pPr>
    </w:p>
    <w:p w14:paraId="6FC1E91F" w14:textId="77777777" w:rsidR="00235735" w:rsidRPr="002F73BA" w:rsidRDefault="00235735" w:rsidP="00235735">
      <w:pPr>
        <w:pStyle w:val="Default"/>
        <w:jc w:val="center"/>
        <w:rPr>
          <w:b/>
          <w:bCs/>
          <w:iCs/>
          <w:color w:val="auto"/>
          <w:sz w:val="28"/>
          <w:szCs w:val="28"/>
        </w:rPr>
      </w:pPr>
      <w:r w:rsidRPr="002F73BA">
        <w:rPr>
          <w:b/>
          <w:bCs/>
          <w:iCs/>
          <w:color w:val="auto"/>
          <w:sz w:val="28"/>
          <w:szCs w:val="28"/>
        </w:rPr>
        <w:t xml:space="preserve">Editors: </w:t>
      </w:r>
      <w:r>
        <w:rPr>
          <w:b/>
          <w:bCs/>
          <w:iCs/>
          <w:color w:val="auto"/>
          <w:sz w:val="28"/>
          <w:szCs w:val="28"/>
        </w:rPr>
        <w:t xml:space="preserve">Dr Gerri Kimber, Professor </w:t>
      </w:r>
      <w:r w:rsidRPr="002F73BA">
        <w:rPr>
          <w:b/>
          <w:bCs/>
          <w:iCs/>
          <w:color w:val="auto"/>
          <w:sz w:val="28"/>
          <w:szCs w:val="28"/>
        </w:rPr>
        <w:t>Todd Martin</w:t>
      </w:r>
      <w:r>
        <w:rPr>
          <w:b/>
          <w:bCs/>
          <w:iCs/>
          <w:color w:val="auto"/>
          <w:sz w:val="28"/>
          <w:szCs w:val="28"/>
        </w:rPr>
        <w:t xml:space="preserve"> and Dr </w:t>
      </w:r>
      <w:r w:rsidRPr="002F73BA">
        <w:rPr>
          <w:b/>
          <w:bCs/>
          <w:iCs/>
          <w:color w:val="auto"/>
          <w:sz w:val="28"/>
          <w:szCs w:val="28"/>
        </w:rPr>
        <w:t>Delia da Sousa Correa</w:t>
      </w:r>
    </w:p>
    <w:p w14:paraId="7D193EC6" w14:textId="77777777" w:rsidR="00235735" w:rsidRDefault="00235735" w:rsidP="00235735">
      <w:pPr>
        <w:pStyle w:val="Default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Reviews Editors: Dr Melinda Harvey and Dr Kathryn Simpson</w:t>
      </w:r>
    </w:p>
    <w:p w14:paraId="04EF69FE" w14:textId="69B6120D" w:rsidR="00235735" w:rsidRPr="00A07120" w:rsidRDefault="00235735" w:rsidP="00A07120">
      <w:pPr>
        <w:pStyle w:val="Default"/>
        <w:jc w:val="center"/>
      </w:pPr>
      <w:r>
        <w:rPr>
          <w:b/>
          <w:bCs/>
          <w:iCs/>
          <w:color w:val="auto"/>
        </w:rPr>
        <w:t>Editorial Assistant: Louise Edensor</w:t>
      </w:r>
    </w:p>
    <w:sectPr w:rsidR="00235735" w:rsidRPr="00A07120" w:rsidSect="00412EBA">
      <w:type w:val="continuous"/>
      <w:pgSz w:w="11900" w:h="16840"/>
      <w:pgMar w:top="720" w:right="720" w:bottom="720" w:left="720" w:header="708" w:footer="708" w:gutter="0"/>
      <w:pgBorders>
        <w:top w:val="single" w:sz="48" w:space="1" w:color="548DD4" w:themeColor="text2" w:themeTint="99"/>
        <w:left w:val="single" w:sz="48" w:space="6" w:color="548DD4" w:themeColor="text2" w:themeTint="99"/>
        <w:bottom w:val="single" w:sz="48" w:space="1" w:color="548DD4" w:themeColor="text2" w:themeTint="99"/>
        <w:right w:val="single" w:sz="48" w:space="6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7AFC4" w14:textId="77777777" w:rsidR="00D16F53" w:rsidRDefault="00D16F53" w:rsidP="00472B30">
      <w:r>
        <w:separator/>
      </w:r>
    </w:p>
  </w:endnote>
  <w:endnote w:type="continuationSeparator" w:id="0">
    <w:p w14:paraId="063964E4" w14:textId="77777777" w:rsidR="00D16F53" w:rsidRDefault="00D16F53" w:rsidP="0047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C57E1" w14:textId="77777777" w:rsidR="00D16F53" w:rsidRDefault="00D16F5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522C1" w14:textId="77777777" w:rsidR="00D16F53" w:rsidRDefault="00D16F5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E7676" w14:textId="77777777" w:rsidR="00D16F53" w:rsidRDefault="00D16F5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D932F" w14:textId="77777777" w:rsidR="00D16F53" w:rsidRDefault="00D16F53" w:rsidP="00472B30">
      <w:r>
        <w:separator/>
      </w:r>
    </w:p>
  </w:footnote>
  <w:footnote w:type="continuationSeparator" w:id="0">
    <w:p w14:paraId="21F63362" w14:textId="77777777" w:rsidR="00D16F53" w:rsidRDefault="00D16F53" w:rsidP="00472B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E88C6" w14:textId="43A8F27A" w:rsidR="00D16F53" w:rsidRDefault="00D16F5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8FC31" w14:textId="4EA5A49D" w:rsidR="00D16F53" w:rsidRDefault="00D16F5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27CD9" w14:textId="436B0B2F" w:rsidR="00D16F53" w:rsidRDefault="00D16F5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51EFD"/>
    <w:multiLevelType w:val="hybridMultilevel"/>
    <w:tmpl w:val="4D008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F6009"/>
    <w:multiLevelType w:val="hybridMultilevel"/>
    <w:tmpl w:val="2CE47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43"/>
    <w:rsid w:val="00003B6B"/>
    <w:rsid w:val="00010B2F"/>
    <w:rsid w:val="001815A5"/>
    <w:rsid w:val="00235735"/>
    <w:rsid w:val="00283F8E"/>
    <w:rsid w:val="002C7E3F"/>
    <w:rsid w:val="002F73BA"/>
    <w:rsid w:val="00412EBA"/>
    <w:rsid w:val="00472B30"/>
    <w:rsid w:val="004F2BB7"/>
    <w:rsid w:val="006C0647"/>
    <w:rsid w:val="00833543"/>
    <w:rsid w:val="0088523C"/>
    <w:rsid w:val="00934B6A"/>
    <w:rsid w:val="009910B3"/>
    <w:rsid w:val="00A07120"/>
    <w:rsid w:val="00C25E4D"/>
    <w:rsid w:val="00D16F53"/>
    <w:rsid w:val="00F7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0EBA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3543"/>
    <w:pPr>
      <w:tabs>
        <w:tab w:val="center" w:pos="4513"/>
        <w:tab w:val="right" w:pos="9026"/>
      </w:tabs>
      <w:jc w:val="center"/>
    </w:pPr>
    <w:rPr>
      <w:rFonts w:eastAsia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rsid w:val="00833543"/>
    <w:rPr>
      <w:rFonts w:eastAsiaTheme="minorHAnsi"/>
      <w:sz w:val="22"/>
      <w:szCs w:val="22"/>
      <w:lang w:val="en-GB"/>
    </w:rPr>
  </w:style>
  <w:style w:type="paragraph" w:customStyle="1" w:styleId="Default">
    <w:name w:val="Default"/>
    <w:rsid w:val="0083354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5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43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72B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B30"/>
  </w:style>
  <w:style w:type="character" w:styleId="Hyperlink">
    <w:name w:val="Hyperlink"/>
    <w:basedOn w:val="DefaultParagraphFont"/>
    <w:uiPriority w:val="99"/>
    <w:unhideWhenUsed/>
    <w:rsid w:val="00A071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71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3543"/>
    <w:pPr>
      <w:tabs>
        <w:tab w:val="center" w:pos="4513"/>
        <w:tab w:val="right" w:pos="9026"/>
      </w:tabs>
      <w:jc w:val="center"/>
    </w:pPr>
    <w:rPr>
      <w:rFonts w:eastAsia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rsid w:val="00833543"/>
    <w:rPr>
      <w:rFonts w:eastAsiaTheme="minorHAnsi"/>
      <w:sz w:val="22"/>
      <w:szCs w:val="22"/>
      <w:lang w:val="en-GB"/>
    </w:rPr>
  </w:style>
  <w:style w:type="paragraph" w:customStyle="1" w:styleId="Default">
    <w:name w:val="Default"/>
    <w:rsid w:val="0083354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5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43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72B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B30"/>
  </w:style>
  <w:style w:type="character" w:styleId="Hyperlink">
    <w:name w:val="Hyperlink"/>
    <w:basedOn w:val="DefaultParagraphFont"/>
    <w:uiPriority w:val="99"/>
    <w:unhideWhenUsed/>
    <w:rsid w:val="00A071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71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hyperlink" Target="mailto:kms@katherinemansfieldsociety.org" TargetMode="External"/><Relationship Id="rId17" Type="http://schemas.openxmlformats.org/officeDocument/2006/relationships/hyperlink" Target="http://www.katherinemansfieldsociety.org/yearbook-katherine-mansfield-studies/" TargetMode="External"/><Relationship Id="rId18" Type="http://schemas.openxmlformats.org/officeDocument/2006/relationships/hyperlink" Target="mailto:kms@katherinemansfieldsociety.org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357814-B112-6748-B7CC-A00E2A4B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358</Words>
  <Characters>2041</Characters>
  <Application>Microsoft Macintosh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 Kimber</dc:creator>
  <cp:keywords/>
  <dc:description/>
  <cp:lastModifiedBy>Gerri Kimber</cp:lastModifiedBy>
  <cp:revision>9</cp:revision>
  <cp:lastPrinted>2014-01-05T10:48:00Z</cp:lastPrinted>
  <dcterms:created xsi:type="dcterms:W3CDTF">2014-01-05T11:05:00Z</dcterms:created>
  <dcterms:modified xsi:type="dcterms:W3CDTF">2014-01-05T16:17:00Z</dcterms:modified>
</cp:coreProperties>
</file>