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0F" w:rsidRPr="006D5BFC" w:rsidRDefault="00AD3A0F" w:rsidP="00AD3A0F">
      <w:pPr>
        <w:spacing w:before="0"/>
        <w:ind w:left="0" w:firstLine="0"/>
        <w:jc w:val="center"/>
        <w:rPr>
          <w:rFonts w:ascii="Times New Roman" w:hAnsi="Times New Roman" w:cs="Times New Roman"/>
          <w:sz w:val="24"/>
          <w:szCs w:val="24"/>
        </w:rPr>
      </w:pPr>
      <w:r w:rsidRPr="006D5BFC">
        <w:rPr>
          <w:rFonts w:ascii="Times New Roman" w:hAnsi="Times New Roman" w:cs="Times New Roman"/>
          <w:sz w:val="24"/>
          <w:szCs w:val="24"/>
        </w:rPr>
        <w:t>A</w:t>
      </w:r>
      <w:r w:rsidR="00B93580">
        <w:rPr>
          <w:rFonts w:ascii="Times New Roman" w:hAnsi="Times New Roman" w:cs="Times New Roman"/>
          <w:sz w:val="24"/>
          <w:szCs w:val="24"/>
        </w:rPr>
        <w:t xml:space="preserve">dditional </w:t>
      </w:r>
      <w:r w:rsidRPr="006D5BFC">
        <w:rPr>
          <w:rFonts w:ascii="Times New Roman" w:hAnsi="Times New Roman" w:cs="Times New Roman"/>
          <w:sz w:val="24"/>
          <w:szCs w:val="24"/>
        </w:rPr>
        <w:t>Analysis of Certain Aspects of the OSU Proposal to Lease Parking Operations</w:t>
      </w:r>
    </w:p>
    <w:p w:rsidR="00AD3A0F" w:rsidRPr="006D5BFC" w:rsidRDefault="00AD3A0F" w:rsidP="00AD3A0F">
      <w:pPr>
        <w:spacing w:before="0"/>
        <w:ind w:left="0" w:firstLine="0"/>
        <w:jc w:val="center"/>
        <w:rPr>
          <w:rFonts w:ascii="Times New Roman" w:hAnsi="Times New Roman" w:cs="Times New Roman"/>
          <w:sz w:val="24"/>
          <w:szCs w:val="24"/>
        </w:rPr>
      </w:pPr>
    </w:p>
    <w:p w:rsidR="00AD3A0F" w:rsidRDefault="00AD3A0F" w:rsidP="00AD3A0F">
      <w:pPr>
        <w:spacing w:before="0"/>
        <w:ind w:left="0" w:firstLine="0"/>
        <w:jc w:val="center"/>
        <w:rPr>
          <w:rFonts w:ascii="Times New Roman" w:hAnsi="Times New Roman" w:cs="Times New Roman"/>
          <w:sz w:val="24"/>
          <w:szCs w:val="24"/>
        </w:rPr>
      </w:pPr>
      <w:r w:rsidRPr="006D5BFC">
        <w:rPr>
          <w:rFonts w:ascii="Times New Roman" w:hAnsi="Times New Roman" w:cs="Times New Roman"/>
          <w:sz w:val="24"/>
          <w:szCs w:val="24"/>
        </w:rPr>
        <w:t>Professor J. Richard Dietrich, Department of Accounting and MIS</w:t>
      </w:r>
    </w:p>
    <w:p w:rsidR="00E07D49" w:rsidRPr="006D5BFC" w:rsidRDefault="00E07D49" w:rsidP="00AD3A0F">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Professor Ulrich Heinz, Department of Physics</w:t>
      </w:r>
    </w:p>
    <w:p w:rsidR="00AD3A0F" w:rsidRDefault="00AD3A0F" w:rsidP="00AD3A0F">
      <w:pPr>
        <w:spacing w:before="0"/>
        <w:ind w:left="0" w:firstLine="0"/>
        <w:jc w:val="center"/>
        <w:rPr>
          <w:rFonts w:ascii="Times New Roman" w:hAnsi="Times New Roman" w:cs="Times New Roman"/>
          <w:sz w:val="24"/>
          <w:szCs w:val="24"/>
        </w:rPr>
      </w:pPr>
      <w:r w:rsidRPr="006D5BFC">
        <w:rPr>
          <w:rFonts w:ascii="Times New Roman" w:hAnsi="Times New Roman" w:cs="Times New Roman"/>
          <w:sz w:val="24"/>
          <w:szCs w:val="24"/>
        </w:rPr>
        <w:t>Professor Anil Makhija, Department of Finance</w:t>
      </w:r>
    </w:p>
    <w:p w:rsidR="00363710" w:rsidRPr="006D5BFC" w:rsidRDefault="00363710" w:rsidP="00AD3A0F">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 xml:space="preserve">Professor </w:t>
      </w:r>
      <w:bookmarkStart w:id="0" w:name="_GoBack"/>
      <w:bookmarkEnd w:id="0"/>
      <w:r>
        <w:rPr>
          <w:rFonts w:ascii="Times New Roman" w:hAnsi="Times New Roman" w:cs="Times New Roman"/>
          <w:sz w:val="24"/>
          <w:szCs w:val="24"/>
        </w:rPr>
        <w:t>Bruce W. Weide, Department of Computer Science and Engineering</w:t>
      </w:r>
    </w:p>
    <w:p w:rsidR="00AD3A0F" w:rsidRPr="006D5BFC" w:rsidRDefault="00AD3A0F" w:rsidP="00AD3A0F">
      <w:pPr>
        <w:spacing w:before="0"/>
        <w:ind w:left="0" w:firstLine="0"/>
        <w:jc w:val="center"/>
        <w:rPr>
          <w:rFonts w:ascii="Times New Roman" w:hAnsi="Times New Roman" w:cs="Times New Roman"/>
          <w:sz w:val="24"/>
          <w:szCs w:val="24"/>
        </w:rPr>
      </w:pPr>
    </w:p>
    <w:p w:rsidR="00AD3A0F" w:rsidRPr="006D5BFC" w:rsidRDefault="00932699" w:rsidP="00AD3A0F">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May 30</w:t>
      </w:r>
      <w:r w:rsidR="00AD3A0F" w:rsidRPr="006D5BFC">
        <w:rPr>
          <w:rFonts w:ascii="Times New Roman" w:hAnsi="Times New Roman" w:cs="Times New Roman"/>
          <w:sz w:val="24"/>
          <w:szCs w:val="24"/>
        </w:rPr>
        <w:t>, 2012</w:t>
      </w:r>
    </w:p>
    <w:p w:rsidR="00300704" w:rsidRDefault="00300704" w:rsidP="00AD3A0F">
      <w:pPr>
        <w:spacing w:before="0"/>
        <w:ind w:left="0" w:firstLine="0"/>
        <w:rPr>
          <w:rFonts w:ascii="Times New Roman" w:hAnsi="Times New Roman" w:cs="Times New Roman"/>
          <w:sz w:val="24"/>
          <w:szCs w:val="24"/>
          <w:u w:val="single"/>
        </w:rPr>
      </w:pPr>
    </w:p>
    <w:p w:rsidR="00AD3A0F" w:rsidRPr="006D5BFC" w:rsidRDefault="00AD3A0F" w:rsidP="00AD3A0F">
      <w:pPr>
        <w:spacing w:before="0"/>
        <w:ind w:left="0" w:firstLine="0"/>
        <w:rPr>
          <w:rFonts w:ascii="Times New Roman" w:hAnsi="Times New Roman" w:cs="Times New Roman"/>
          <w:sz w:val="24"/>
          <w:szCs w:val="24"/>
          <w:u w:val="single"/>
        </w:rPr>
      </w:pPr>
      <w:r w:rsidRPr="006D5BFC">
        <w:rPr>
          <w:rFonts w:ascii="Times New Roman" w:hAnsi="Times New Roman" w:cs="Times New Roman"/>
          <w:sz w:val="24"/>
          <w:szCs w:val="24"/>
          <w:u w:val="single"/>
        </w:rPr>
        <w:t>Introduction</w:t>
      </w:r>
    </w:p>
    <w:p w:rsidR="00AD3A0F" w:rsidRPr="006D5BFC" w:rsidRDefault="00AD3A0F" w:rsidP="00AD3A0F">
      <w:pPr>
        <w:spacing w:before="0"/>
        <w:ind w:left="0" w:firstLine="0"/>
        <w:rPr>
          <w:rFonts w:ascii="Times New Roman" w:hAnsi="Times New Roman" w:cs="Times New Roman"/>
          <w:sz w:val="24"/>
          <w:szCs w:val="24"/>
        </w:rPr>
      </w:pPr>
    </w:p>
    <w:p w:rsidR="007A48C4" w:rsidRDefault="00B93580" w:rsidP="000350CB">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An earlier analysis of </w:t>
      </w:r>
      <w:r w:rsidR="000E7126">
        <w:rPr>
          <w:rFonts w:ascii="Times New Roman" w:hAnsi="Times New Roman" w:cs="Times New Roman"/>
          <w:sz w:val="24"/>
          <w:szCs w:val="24"/>
        </w:rPr>
        <w:t>T</w:t>
      </w:r>
      <w:r>
        <w:rPr>
          <w:rFonts w:ascii="Times New Roman" w:hAnsi="Times New Roman" w:cs="Times New Roman"/>
          <w:sz w:val="24"/>
          <w:szCs w:val="24"/>
        </w:rPr>
        <w:t xml:space="preserve">he </w:t>
      </w:r>
      <w:r w:rsidR="000E7126">
        <w:rPr>
          <w:rFonts w:ascii="Times New Roman" w:hAnsi="Times New Roman" w:cs="Times New Roman"/>
          <w:sz w:val="24"/>
          <w:szCs w:val="24"/>
        </w:rPr>
        <w:t>Ohio State University’s</w:t>
      </w:r>
      <w:r>
        <w:rPr>
          <w:rFonts w:ascii="Times New Roman" w:hAnsi="Times New Roman" w:cs="Times New Roman"/>
          <w:sz w:val="24"/>
          <w:szCs w:val="24"/>
        </w:rPr>
        <w:t xml:space="preserve"> proposal to lease parking operations developed a framework to analyze the potential value created through a lease arrangement with an external operator.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E7126">
        <w:rPr>
          <w:rFonts w:ascii="Times New Roman" w:hAnsi="Times New Roman" w:cs="Times New Roman"/>
          <w:sz w:val="24"/>
          <w:szCs w:val="24"/>
        </w:rPr>
        <w:t xml:space="preserve">That analysis focused on estimating possible bid amounts by potential third-party operators.  It also compared estimated bids with an estimate of the </w:t>
      </w:r>
      <w:r w:rsidR="00B75174">
        <w:rPr>
          <w:rFonts w:ascii="Times New Roman" w:hAnsi="Times New Roman" w:cs="Times New Roman"/>
          <w:sz w:val="24"/>
          <w:szCs w:val="24"/>
        </w:rPr>
        <w:t xml:space="preserve">present </w:t>
      </w:r>
      <w:r w:rsidR="000E7126">
        <w:rPr>
          <w:rFonts w:ascii="Times New Roman" w:hAnsi="Times New Roman" w:cs="Times New Roman"/>
          <w:sz w:val="24"/>
          <w:szCs w:val="24"/>
        </w:rPr>
        <w:t xml:space="preserve">value that </w:t>
      </w:r>
      <w:r w:rsidR="00300704">
        <w:rPr>
          <w:rFonts w:ascii="Times New Roman" w:hAnsi="Times New Roman" w:cs="Times New Roman"/>
          <w:sz w:val="24"/>
          <w:szCs w:val="24"/>
        </w:rPr>
        <w:t>the University</w:t>
      </w:r>
      <w:r w:rsidR="000E7126">
        <w:rPr>
          <w:rFonts w:ascii="Times New Roman" w:hAnsi="Times New Roman" w:cs="Times New Roman"/>
          <w:sz w:val="24"/>
          <w:szCs w:val="24"/>
        </w:rPr>
        <w:t xml:space="preserve"> </w:t>
      </w:r>
      <w:r w:rsidR="00B75174">
        <w:rPr>
          <w:rFonts w:ascii="Times New Roman" w:hAnsi="Times New Roman" w:cs="Times New Roman"/>
          <w:sz w:val="24"/>
          <w:szCs w:val="24"/>
        </w:rPr>
        <w:t xml:space="preserve">would obtain from its continued operation of the parking facilities. </w:t>
      </w:r>
      <w:r w:rsidR="000350CB">
        <w:rPr>
          <w:rFonts w:ascii="Times New Roman" w:hAnsi="Times New Roman" w:cs="Times New Roman"/>
          <w:sz w:val="24"/>
          <w:szCs w:val="24"/>
        </w:rPr>
        <w:t xml:space="preserve">That analysis led to a conclusion </w:t>
      </w:r>
      <w:r w:rsidR="007A48C4">
        <w:rPr>
          <w:rFonts w:ascii="Times New Roman" w:hAnsi="Times New Roman" w:cs="Times New Roman"/>
          <w:sz w:val="24"/>
          <w:szCs w:val="24"/>
        </w:rPr>
        <w:t>t</w:t>
      </w:r>
      <w:r w:rsidR="00C6313C">
        <w:rPr>
          <w:rFonts w:ascii="Times New Roman" w:hAnsi="Times New Roman" w:cs="Times New Roman"/>
          <w:sz w:val="24"/>
          <w:szCs w:val="24"/>
        </w:rPr>
        <w:t xml:space="preserve">hat a lease “has the potential to create value for the University.”  </w:t>
      </w:r>
      <w:r w:rsidR="000350CB">
        <w:rPr>
          <w:rFonts w:ascii="Times New Roman" w:hAnsi="Times New Roman" w:cs="Times New Roman"/>
          <w:sz w:val="24"/>
          <w:szCs w:val="24"/>
        </w:rPr>
        <w:t>The</w:t>
      </w:r>
      <w:r w:rsidR="00C6313C">
        <w:rPr>
          <w:rFonts w:ascii="Times New Roman" w:hAnsi="Times New Roman" w:cs="Times New Roman"/>
          <w:sz w:val="24"/>
          <w:szCs w:val="24"/>
        </w:rPr>
        <w:t xml:space="preserve"> analysis did not consider explicitly how the University would use cash flows from continued operation of the parking facilities or</w:t>
      </w:r>
      <w:r w:rsidR="00300704">
        <w:rPr>
          <w:rFonts w:ascii="Times New Roman" w:hAnsi="Times New Roman" w:cs="Times New Roman"/>
          <w:sz w:val="24"/>
          <w:szCs w:val="24"/>
        </w:rPr>
        <w:t>, alternatively,</w:t>
      </w:r>
      <w:r w:rsidR="00C6313C">
        <w:rPr>
          <w:rFonts w:ascii="Times New Roman" w:hAnsi="Times New Roman" w:cs="Times New Roman"/>
          <w:sz w:val="24"/>
          <w:szCs w:val="24"/>
        </w:rPr>
        <w:t xml:space="preserve"> from the proceeds received by the University from an external operator.</w:t>
      </w:r>
      <w:r w:rsidR="00A2797D">
        <w:rPr>
          <w:rFonts w:ascii="Times New Roman" w:hAnsi="Times New Roman" w:cs="Times New Roman"/>
          <w:sz w:val="24"/>
          <w:szCs w:val="24"/>
        </w:rPr>
        <w:t xml:space="preserve"> </w:t>
      </w:r>
      <w:r w:rsidR="007A48C4">
        <w:rPr>
          <w:rFonts w:ascii="Times New Roman" w:hAnsi="Times New Roman" w:cs="Times New Roman"/>
          <w:sz w:val="24"/>
          <w:szCs w:val="24"/>
        </w:rPr>
        <w:t>Th</w:t>
      </w:r>
      <w:r w:rsidR="008B44AB">
        <w:rPr>
          <w:rFonts w:ascii="Times New Roman" w:hAnsi="Times New Roman" w:cs="Times New Roman"/>
          <w:sz w:val="24"/>
          <w:szCs w:val="24"/>
        </w:rPr>
        <w:t>e present</w:t>
      </w:r>
      <w:r w:rsidR="007A48C4">
        <w:rPr>
          <w:rFonts w:ascii="Times New Roman" w:hAnsi="Times New Roman" w:cs="Times New Roman"/>
          <w:sz w:val="24"/>
          <w:szCs w:val="24"/>
        </w:rPr>
        <w:t xml:space="preserve"> analysis</w:t>
      </w:r>
      <w:r w:rsidR="00A2797D">
        <w:rPr>
          <w:rFonts w:ascii="Times New Roman" w:hAnsi="Times New Roman" w:cs="Times New Roman"/>
          <w:sz w:val="24"/>
          <w:szCs w:val="24"/>
        </w:rPr>
        <w:t xml:space="preserve"> examines </w:t>
      </w:r>
      <w:r w:rsidR="00300704">
        <w:rPr>
          <w:rFonts w:ascii="Times New Roman" w:hAnsi="Times New Roman" w:cs="Times New Roman"/>
          <w:sz w:val="24"/>
          <w:szCs w:val="24"/>
        </w:rPr>
        <w:t xml:space="preserve">estimated </w:t>
      </w:r>
      <w:r w:rsidR="00A2797D">
        <w:rPr>
          <w:rFonts w:ascii="Times New Roman" w:hAnsi="Times New Roman" w:cs="Times New Roman"/>
          <w:sz w:val="24"/>
          <w:szCs w:val="24"/>
        </w:rPr>
        <w:t xml:space="preserve">cash flows to address </w:t>
      </w:r>
      <w:r w:rsidR="007A48C4">
        <w:rPr>
          <w:rFonts w:ascii="Times New Roman" w:hAnsi="Times New Roman" w:cs="Times New Roman"/>
          <w:sz w:val="24"/>
          <w:szCs w:val="24"/>
        </w:rPr>
        <w:t xml:space="preserve">two </w:t>
      </w:r>
      <w:r w:rsidR="00034D12">
        <w:rPr>
          <w:rFonts w:ascii="Times New Roman" w:hAnsi="Times New Roman" w:cs="Times New Roman"/>
          <w:sz w:val="24"/>
          <w:szCs w:val="24"/>
        </w:rPr>
        <w:t>questions</w:t>
      </w:r>
      <w:r w:rsidR="007A48C4">
        <w:rPr>
          <w:rFonts w:ascii="Times New Roman" w:hAnsi="Times New Roman" w:cs="Times New Roman"/>
          <w:sz w:val="24"/>
          <w:szCs w:val="24"/>
        </w:rPr>
        <w:t>:</w:t>
      </w:r>
    </w:p>
    <w:p w:rsidR="007A48C4" w:rsidRDefault="007A48C4" w:rsidP="000350CB">
      <w:pPr>
        <w:spacing w:before="0"/>
        <w:ind w:left="0" w:firstLine="0"/>
        <w:rPr>
          <w:rFonts w:ascii="Times New Roman" w:hAnsi="Times New Roman" w:cs="Times New Roman"/>
          <w:sz w:val="24"/>
          <w:szCs w:val="24"/>
        </w:rPr>
      </w:pPr>
    </w:p>
    <w:p w:rsidR="00034D12" w:rsidRDefault="00034D12" w:rsidP="007A48C4">
      <w:pPr>
        <w:pStyle w:val="ListParagraph"/>
        <w:numPr>
          <w:ilvl w:val="0"/>
          <w:numId w:val="3"/>
        </w:numPr>
        <w:spacing w:before="0"/>
        <w:rPr>
          <w:rFonts w:ascii="Times New Roman" w:hAnsi="Times New Roman" w:cs="Times New Roman"/>
          <w:sz w:val="24"/>
          <w:szCs w:val="24"/>
        </w:rPr>
      </w:pPr>
      <w:r>
        <w:rPr>
          <w:rFonts w:ascii="Times New Roman" w:hAnsi="Times New Roman" w:cs="Times New Roman"/>
          <w:sz w:val="24"/>
          <w:szCs w:val="24"/>
        </w:rPr>
        <w:t>Would the University benefit more by continuing to manage its parking operations</w:t>
      </w:r>
      <w:r w:rsidR="00A2797D">
        <w:rPr>
          <w:rFonts w:ascii="Times New Roman" w:hAnsi="Times New Roman" w:cs="Times New Roman"/>
          <w:sz w:val="24"/>
          <w:szCs w:val="24"/>
        </w:rPr>
        <w:t xml:space="preserve"> or by leasing its parking operations to an external operator</w:t>
      </w:r>
      <w:r w:rsidR="00791CD4">
        <w:rPr>
          <w:rFonts w:ascii="Times New Roman" w:hAnsi="Times New Roman" w:cs="Times New Roman"/>
          <w:sz w:val="24"/>
          <w:szCs w:val="24"/>
        </w:rPr>
        <w:t>?</w:t>
      </w:r>
    </w:p>
    <w:p w:rsidR="00B75174" w:rsidRPr="00034D12" w:rsidRDefault="00B75174" w:rsidP="00034D12">
      <w:pPr>
        <w:pStyle w:val="ListParagraph"/>
        <w:spacing w:before="0"/>
        <w:ind w:firstLine="0"/>
        <w:rPr>
          <w:rFonts w:ascii="Times New Roman" w:hAnsi="Times New Roman" w:cs="Times New Roman"/>
          <w:sz w:val="24"/>
          <w:szCs w:val="24"/>
        </w:rPr>
      </w:pPr>
    </w:p>
    <w:p w:rsidR="00C7549B" w:rsidRDefault="00034D12" w:rsidP="007A48C4">
      <w:pPr>
        <w:pStyle w:val="ListParagraph"/>
        <w:numPr>
          <w:ilvl w:val="0"/>
          <w:numId w:val="3"/>
        </w:numPr>
        <w:spacing w:before="0"/>
        <w:rPr>
          <w:rFonts w:ascii="Times New Roman" w:hAnsi="Times New Roman" w:cs="Times New Roman"/>
          <w:sz w:val="24"/>
          <w:szCs w:val="24"/>
        </w:rPr>
      </w:pPr>
      <w:r>
        <w:rPr>
          <w:rFonts w:ascii="Times New Roman" w:hAnsi="Times New Roman" w:cs="Times New Roman"/>
          <w:sz w:val="24"/>
          <w:szCs w:val="24"/>
        </w:rPr>
        <w:t xml:space="preserve">Would </w:t>
      </w:r>
      <w:r w:rsidR="00C7549B">
        <w:rPr>
          <w:rFonts w:ascii="Times New Roman" w:hAnsi="Times New Roman" w:cs="Times New Roman"/>
          <w:sz w:val="24"/>
          <w:szCs w:val="24"/>
        </w:rPr>
        <w:t xml:space="preserve">the amount of cash flows that the University intends to use annually to support </w:t>
      </w:r>
      <w:r w:rsidR="007A48C4" w:rsidRPr="007A48C4">
        <w:rPr>
          <w:rFonts w:ascii="Times New Roman" w:hAnsi="Times New Roman" w:cs="Times New Roman"/>
          <w:sz w:val="24"/>
          <w:szCs w:val="24"/>
        </w:rPr>
        <w:t>Campus Area Bus Service (CABS), debt service</w:t>
      </w:r>
      <w:r>
        <w:rPr>
          <w:rFonts w:ascii="Times New Roman" w:hAnsi="Times New Roman" w:cs="Times New Roman"/>
          <w:sz w:val="24"/>
          <w:szCs w:val="24"/>
        </w:rPr>
        <w:t xml:space="preserve">, </w:t>
      </w:r>
      <w:r w:rsidR="00A2797D">
        <w:rPr>
          <w:rFonts w:ascii="Times New Roman" w:hAnsi="Times New Roman" w:cs="Times New Roman"/>
          <w:sz w:val="24"/>
          <w:szCs w:val="24"/>
        </w:rPr>
        <w:t xml:space="preserve">the </w:t>
      </w:r>
      <w:r>
        <w:rPr>
          <w:rFonts w:ascii="Times New Roman" w:hAnsi="Times New Roman" w:cs="Times New Roman"/>
          <w:sz w:val="24"/>
          <w:szCs w:val="24"/>
        </w:rPr>
        <w:t xml:space="preserve">academic core, or other activities </w:t>
      </w:r>
      <w:r w:rsidR="00342308">
        <w:rPr>
          <w:rFonts w:ascii="Times New Roman" w:hAnsi="Times New Roman" w:cs="Times New Roman"/>
          <w:sz w:val="24"/>
          <w:szCs w:val="24"/>
        </w:rPr>
        <w:t>affect the</w:t>
      </w:r>
      <w:r w:rsidR="00300704">
        <w:rPr>
          <w:rFonts w:ascii="Times New Roman" w:hAnsi="Times New Roman" w:cs="Times New Roman"/>
          <w:sz w:val="24"/>
          <w:szCs w:val="24"/>
        </w:rPr>
        <w:t xml:space="preserve"> choice between management by </w:t>
      </w:r>
      <w:r w:rsidR="00264FDE">
        <w:rPr>
          <w:rFonts w:ascii="Times New Roman" w:hAnsi="Times New Roman" w:cs="Times New Roman"/>
          <w:sz w:val="24"/>
          <w:szCs w:val="24"/>
        </w:rPr>
        <w:t xml:space="preserve">the University or </w:t>
      </w:r>
      <w:r w:rsidR="00300704">
        <w:rPr>
          <w:rFonts w:ascii="Times New Roman" w:hAnsi="Times New Roman" w:cs="Times New Roman"/>
          <w:sz w:val="24"/>
          <w:szCs w:val="24"/>
        </w:rPr>
        <w:t>an external operator</w:t>
      </w:r>
      <w:r>
        <w:rPr>
          <w:rFonts w:ascii="Times New Roman" w:hAnsi="Times New Roman" w:cs="Times New Roman"/>
          <w:sz w:val="24"/>
          <w:szCs w:val="24"/>
        </w:rPr>
        <w:t>?</w:t>
      </w:r>
      <w:r w:rsidR="001A01BD">
        <w:rPr>
          <w:rFonts w:ascii="Times New Roman" w:hAnsi="Times New Roman" w:cs="Times New Roman"/>
          <w:sz w:val="24"/>
          <w:szCs w:val="24"/>
        </w:rPr>
        <w:t xml:space="preserve">  </w:t>
      </w:r>
    </w:p>
    <w:p w:rsidR="00C7549B" w:rsidRPr="00C7549B" w:rsidRDefault="00C7549B" w:rsidP="00C7549B">
      <w:pPr>
        <w:pStyle w:val="ListParagraph"/>
        <w:rPr>
          <w:rFonts w:ascii="Times New Roman" w:hAnsi="Times New Roman" w:cs="Times New Roman"/>
          <w:sz w:val="24"/>
          <w:szCs w:val="24"/>
        </w:rPr>
      </w:pPr>
    </w:p>
    <w:p w:rsidR="00034D12" w:rsidRDefault="00300704"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W</w:t>
      </w:r>
      <w:r w:rsidR="009B08CE">
        <w:rPr>
          <w:rFonts w:ascii="Times New Roman" w:hAnsi="Times New Roman" w:cs="Times New Roman"/>
          <w:sz w:val="24"/>
          <w:szCs w:val="24"/>
        </w:rPr>
        <w:t xml:space="preserve">e </w:t>
      </w:r>
      <w:r w:rsidR="00034D12">
        <w:rPr>
          <w:rFonts w:ascii="Times New Roman" w:hAnsi="Times New Roman" w:cs="Times New Roman"/>
          <w:sz w:val="24"/>
          <w:szCs w:val="24"/>
        </w:rPr>
        <w:t xml:space="preserve">examine both issues, using </w:t>
      </w:r>
      <w:r w:rsidR="009B08CE">
        <w:rPr>
          <w:rFonts w:ascii="Times New Roman" w:hAnsi="Times New Roman" w:cs="Times New Roman"/>
          <w:sz w:val="24"/>
          <w:szCs w:val="24"/>
        </w:rPr>
        <w:t xml:space="preserve">a spreadsheet that can be used to compare an investment arising from a one-time payment </w:t>
      </w:r>
      <w:r>
        <w:rPr>
          <w:rFonts w:ascii="Times New Roman" w:hAnsi="Times New Roman" w:cs="Times New Roman"/>
          <w:sz w:val="24"/>
          <w:szCs w:val="24"/>
        </w:rPr>
        <w:t>by</w:t>
      </w:r>
      <w:r w:rsidR="009B08CE">
        <w:rPr>
          <w:rFonts w:ascii="Times New Roman" w:hAnsi="Times New Roman" w:cs="Times New Roman"/>
          <w:sz w:val="24"/>
          <w:szCs w:val="24"/>
        </w:rPr>
        <w:t xml:space="preserve"> an external operator </w:t>
      </w:r>
      <w:r w:rsidR="00C25A5C">
        <w:rPr>
          <w:rFonts w:ascii="Times New Roman" w:hAnsi="Times New Roman" w:cs="Times New Roman"/>
          <w:sz w:val="24"/>
          <w:szCs w:val="24"/>
        </w:rPr>
        <w:t xml:space="preserve">(“external lease </w:t>
      </w:r>
      <w:r>
        <w:rPr>
          <w:rFonts w:ascii="Times New Roman" w:hAnsi="Times New Roman" w:cs="Times New Roman"/>
          <w:sz w:val="24"/>
          <w:szCs w:val="24"/>
        </w:rPr>
        <w:t>alternative</w:t>
      </w:r>
      <w:r w:rsidR="00C25A5C">
        <w:rPr>
          <w:rFonts w:ascii="Times New Roman" w:hAnsi="Times New Roman" w:cs="Times New Roman"/>
          <w:sz w:val="24"/>
          <w:szCs w:val="24"/>
        </w:rPr>
        <w:t xml:space="preserve">”) </w:t>
      </w:r>
      <w:r w:rsidR="009B08CE">
        <w:rPr>
          <w:rFonts w:ascii="Times New Roman" w:hAnsi="Times New Roman" w:cs="Times New Roman"/>
          <w:sz w:val="24"/>
          <w:szCs w:val="24"/>
        </w:rPr>
        <w:t>with estimated cash flows arising from the University’s continued management of the parking operations</w:t>
      </w:r>
      <w:r w:rsidR="00C25A5C">
        <w:rPr>
          <w:rFonts w:ascii="Times New Roman" w:hAnsi="Times New Roman" w:cs="Times New Roman"/>
          <w:sz w:val="24"/>
          <w:szCs w:val="24"/>
        </w:rPr>
        <w:t xml:space="preserve"> (“internal operation </w:t>
      </w:r>
      <w:r>
        <w:rPr>
          <w:rFonts w:ascii="Times New Roman" w:hAnsi="Times New Roman" w:cs="Times New Roman"/>
          <w:sz w:val="24"/>
          <w:szCs w:val="24"/>
        </w:rPr>
        <w:t>alternative</w:t>
      </w:r>
      <w:r w:rsidR="009B08CE">
        <w:rPr>
          <w:rFonts w:ascii="Times New Roman" w:hAnsi="Times New Roman" w:cs="Times New Roman"/>
          <w:sz w:val="24"/>
          <w:szCs w:val="24"/>
        </w:rPr>
        <w:t>.</w:t>
      </w:r>
      <w:r w:rsidR="00C25A5C">
        <w:rPr>
          <w:rFonts w:ascii="Times New Roman" w:hAnsi="Times New Roman" w:cs="Times New Roman"/>
          <w:sz w:val="24"/>
          <w:szCs w:val="24"/>
        </w:rPr>
        <w:t>”)</w:t>
      </w:r>
      <w:r w:rsidR="00264FDE">
        <w:rPr>
          <w:rStyle w:val="FootnoteReference"/>
          <w:rFonts w:ascii="Times New Roman" w:hAnsi="Times New Roman" w:cs="Times New Roman"/>
          <w:sz w:val="24"/>
          <w:szCs w:val="24"/>
        </w:rPr>
        <w:footnoteReference w:id="2"/>
      </w:r>
      <w:r w:rsidR="00D233C5">
        <w:rPr>
          <w:rFonts w:ascii="Times New Roman" w:hAnsi="Times New Roman" w:cs="Times New Roman"/>
          <w:sz w:val="24"/>
          <w:szCs w:val="24"/>
        </w:rPr>
        <w:t xml:space="preserve"> </w:t>
      </w:r>
      <w:r w:rsidR="00C7549B">
        <w:rPr>
          <w:rFonts w:ascii="Times New Roman" w:hAnsi="Times New Roman" w:cs="Times New Roman"/>
          <w:sz w:val="24"/>
          <w:szCs w:val="24"/>
        </w:rPr>
        <w:t xml:space="preserve">The cash flows that can be used to support </w:t>
      </w:r>
      <w:r w:rsidR="00C7549B" w:rsidRPr="007A48C4">
        <w:rPr>
          <w:rFonts w:ascii="Times New Roman" w:hAnsi="Times New Roman" w:cs="Times New Roman"/>
          <w:sz w:val="24"/>
          <w:szCs w:val="24"/>
        </w:rPr>
        <w:t>Campus Area Bus Service (CABS), debt service</w:t>
      </w:r>
      <w:r w:rsidR="00C7549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7549B">
        <w:rPr>
          <w:rFonts w:ascii="Times New Roman" w:hAnsi="Times New Roman" w:cs="Times New Roman"/>
          <w:sz w:val="24"/>
          <w:szCs w:val="24"/>
        </w:rPr>
        <w:t xml:space="preserve">academic core, or </w:t>
      </w:r>
      <w:r>
        <w:rPr>
          <w:rFonts w:ascii="Times New Roman" w:hAnsi="Times New Roman" w:cs="Times New Roman"/>
          <w:sz w:val="24"/>
          <w:szCs w:val="24"/>
        </w:rPr>
        <w:t xml:space="preserve">other University </w:t>
      </w:r>
      <w:r w:rsidR="00C7549B">
        <w:rPr>
          <w:rFonts w:ascii="Times New Roman" w:hAnsi="Times New Roman" w:cs="Times New Roman"/>
          <w:sz w:val="24"/>
          <w:szCs w:val="24"/>
        </w:rPr>
        <w:t>activities</w:t>
      </w:r>
      <w:r w:rsidR="00C7549B" w:rsidRPr="00C7549B">
        <w:rPr>
          <w:rFonts w:ascii="Times New Roman" w:hAnsi="Times New Roman" w:cs="Times New Roman"/>
          <w:sz w:val="24"/>
          <w:szCs w:val="24"/>
        </w:rPr>
        <w:t xml:space="preserve"> </w:t>
      </w:r>
      <w:r w:rsidR="00C7549B">
        <w:rPr>
          <w:rFonts w:ascii="Times New Roman" w:hAnsi="Times New Roman" w:cs="Times New Roman"/>
          <w:sz w:val="24"/>
          <w:szCs w:val="24"/>
        </w:rPr>
        <w:t>will be referred to as “</w:t>
      </w:r>
      <w:r>
        <w:rPr>
          <w:rFonts w:ascii="Times New Roman" w:hAnsi="Times New Roman" w:cs="Times New Roman"/>
          <w:sz w:val="24"/>
          <w:szCs w:val="24"/>
        </w:rPr>
        <w:t>non-parking</w:t>
      </w:r>
      <w:r w:rsidR="00C7549B">
        <w:rPr>
          <w:rFonts w:ascii="Times New Roman" w:hAnsi="Times New Roman" w:cs="Times New Roman"/>
          <w:sz w:val="24"/>
          <w:szCs w:val="24"/>
        </w:rPr>
        <w:t>” activities.</w:t>
      </w:r>
      <w:r>
        <w:rPr>
          <w:rStyle w:val="FootnoteReference"/>
          <w:rFonts w:ascii="Times New Roman" w:hAnsi="Times New Roman" w:cs="Times New Roman"/>
          <w:sz w:val="24"/>
          <w:szCs w:val="24"/>
        </w:rPr>
        <w:footnoteReference w:id="3"/>
      </w:r>
    </w:p>
    <w:p w:rsidR="00034D12" w:rsidRDefault="00034D12" w:rsidP="007A48C4">
      <w:pPr>
        <w:spacing w:before="0"/>
        <w:ind w:left="0" w:firstLine="0"/>
        <w:rPr>
          <w:rFonts w:ascii="Times New Roman" w:hAnsi="Times New Roman" w:cs="Times New Roman"/>
          <w:sz w:val="24"/>
          <w:szCs w:val="24"/>
        </w:rPr>
      </w:pPr>
    </w:p>
    <w:p w:rsidR="00034D12" w:rsidRPr="006D5BFC" w:rsidRDefault="00034D12" w:rsidP="00034D12">
      <w:pPr>
        <w:spacing w:before="0"/>
        <w:ind w:left="0" w:firstLine="0"/>
        <w:rPr>
          <w:rFonts w:ascii="Times New Roman" w:hAnsi="Times New Roman" w:cs="Times New Roman"/>
          <w:sz w:val="24"/>
          <w:szCs w:val="24"/>
          <w:u w:val="single"/>
        </w:rPr>
      </w:pPr>
      <w:r w:rsidRPr="006D5BFC">
        <w:rPr>
          <w:rFonts w:ascii="Times New Roman" w:hAnsi="Times New Roman" w:cs="Times New Roman"/>
          <w:sz w:val="24"/>
          <w:szCs w:val="24"/>
          <w:u w:val="single"/>
        </w:rPr>
        <w:t>Scope of Analysis</w:t>
      </w:r>
    </w:p>
    <w:p w:rsidR="00034D12" w:rsidRPr="006D5BFC" w:rsidRDefault="00034D12" w:rsidP="00034D12">
      <w:pPr>
        <w:spacing w:before="0"/>
        <w:ind w:left="0" w:firstLine="0"/>
        <w:rPr>
          <w:rFonts w:ascii="Times New Roman" w:hAnsi="Times New Roman" w:cs="Times New Roman"/>
          <w:sz w:val="24"/>
          <w:szCs w:val="24"/>
        </w:rPr>
      </w:pPr>
    </w:p>
    <w:p w:rsidR="007A635C" w:rsidRDefault="007A635C" w:rsidP="00034D12">
      <w:pPr>
        <w:spacing w:before="0"/>
        <w:ind w:left="0" w:firstLine="0"/>
        <w:rPr>
          <w:rFonts w:ascii="Times New Roman" w:hAnsi="Times New Roman" w:cs="Times New Roman"/>
          <w:sz w:val="24"/>
          <w:szCs w:val="24"/>
        </w:rPr>
      </w:pPr>
      <w:r>
        <w:rPr>
          <w:rFonts w:ascii="Times New Roman" w:hAnsi="Times New Roman" w:cs="Times New Roman"/>
          <w:sz w:val="24"/>
          <w:szCs w:val="24"/>
        </w:rPr>
        <w:t>T</w:t>
      </w:r>
      <w:r w:rsidR="00034D12">
        <w:rPr>
          <w:rFonts w:ascii="Times New Roman" w:hAnsi="Times New Roman" w:cs="Times New Roman"/>
          <w:sz w:val="24"/>
          <w:szCs w:val="24"/>
        </w:rPr>
        <w:t xml:space="preserve">his </w:t>
      </w:r>
      <w:r w:rsidR="00034D12" w:rsidRPr="006D5BFC">
        <w:rPr>
          <w:rFonts w:ascii="Times New Roman" w:hAnsi="Times New Roman" w:cs="Times New Roman"/>
          <w:sz w:val="24"/>
          <w:szCs w:val="24"/>
        </w:rPr>
        <w:t xml:space="preserve">analysis </w:t>
      </w:r>
      <w:r>
        <w:rPr>
          <w:rFonts w:ascii="Times New Roman" w:hAnsi="Times New Roman" w:cs="Times New Roman"/>
          <w:sz w:val="24"/>
          <w:szCs w:val="24"/>
        </w:rPr>
        <w:t>examines</w:t>
      </w:r>
      <w:r w:rsidR="00034D12" w:rsidRPr="006D5BFC">
        <w:rPr>
          <w:rFonts w:ascii="Times New Roman" w:hAnsi="Times New Roman" w:cs="Times New Roman"/>
          <w:sz w:val="24"/>
          <w:szCs w:val="24"/>
        </w:rPr>
        <w:t xml:space="preserve"> the </w:t>
      </w:r>
      <w:r>
        <w:rPr>
          <w:rFonts w:ascii="Times New Roman" w:hAnsi="Times New Roman" w:cs="Times New Roman"/>
          <w:sz w:val="24"/>
          <w:szCs w:val="24"/>
        </w:rPr>
        <w:t xml:space="preserve">possible </w:t>
      </w:r>
      <w:r w:rsidR="00034D12" w:rsidRPr="006D5BFC">
        <w:rPr>
          <w:rFonts w:ascii="Times New Roman" w:hAnsi="Times New Roman" w:cs="Times New Roman"/>
          <w:sz w:val="24"/>
          <w:szCs w:val="24"/>
        </w:rPr>
        <w:t xml:space="preserve">lease of </w:t>
      </w:r>
      <w:r w:rsidR="00264FDE">
        <w:rPr>
          <w:rFonts w:ascii="Times New Roman" w:hAnsi="Times New Roman" w:cs="Times New Roman"/>
          <w:sz w:val="24"/>
          <w:szCs w:val="24"/>
        </w:rPr>
        <w:t>University</w:t>
      </w:r>
      <w:r w:rsidR="00034D12" w:rsidRPr="006D5BFC">
        <w:rPr>
          <w:rFonts w:ascii="Times New Roman" w:hAnsi="Times New Roman" w:cs="Times New Roman"/>
          <w:sz w:val="24"/>
          <w:szCs w:val="24"/>
        </w:rPr>
        <w:t xml:space="preserve"> parking facilities including operation, maintenance and capital improvements.  </w:t>
      </w:r>
      <w:r w:rsidR="00034D12">
        <w:rPr>
          <w:rFonts w:ascii="Times New Roman" w:hAnsi="Times New Roman" w:cs="Times New Roman"/>
          <w:sz w:val="24"/>
          <w:szCs w:val="24"/>
        </w:rPr>
        <w:t xml:space="preserve">In examining the questions listed above, we structure </w:t>
      </w:r>
      <w:r w:rsidR="00034D12">
        <w:rPr>
          <w:rFonts w:ascii="Times New Roman" w:hAnsi="Times New Roman" w:cs="Times New Roman"/>
          <w:sz w:val="24"/>
          <w:szCs w:val="24"/>
        </w:rPr>
        <w:lastRenderedPageBreak/>
        <w:t xml:space="preserve">each </w:t>
      </w:r>
      <w:r>
        <w:rPr>
          <w:rFonts w:ascii="Times New Roman" w:hAnsi="Times New Roman" w:cs="Times New Roman"/>
          <w:sz w:val="24"/>
          <w:szCs w:val="24"/>
        </w:rPr>
        <w:t>alternative to create identical annual c</w:t>
      </w:r>
      <w:r w:rsidR="00034D12">
        <w:rPr>
          <w:rFonts w:ascii="Times New Roman" w:hAnsi="Times New Roman" w:cs="Times New Roman"/>
          <w:sz w:val="24"/>
          <w:szCs w:val="24"/>
        </w:rPr>
        <w:t>ash flow</w:t>
      </w:r>
      <w:r w:rsidR="001A01BD">
        <w:rPr>
          <w:rFonts w:ascii="Times New Roman" w:hAnsi="Times New Roman" w:cs="Times New Roman"/>
          <w:sz w:val="24"/>
          <w:szCs w:val="24"/>
        </w:rPr>
        <w:t>s</w:t>
      </w:r>
      <w:r w:rsidR="00034D12">
        <w:rPr>
          <w:rFonts w:ascii="Times New Roman" w:hAnsi="Times New Roman" w:cs="Times New Roman"/>
          <w:sz w:val="24"/>
          <w:szCs w:val="24"/>
        </w:rPr>
        <w:t xml:space="preserve"> </w:t>
      </w:r>
      <w:r>
        <w:rPr>
          <w:rFonts w:ascii="Times New Roman" w:hAnsi="Times New Roman" w:cs="Times New Roman"/>
          <w:sz w:val="24"/>
          <w:szCs w:val="24"/>
        </w:rPr>
        <w:t xml:space="preserve">for non-parking </w:t>
      </w:r>
      <w:r w:rsidR="00034D12">
        <w:rPr>
          <w:rFonts w:ascii="Times New Roman" w:hAnsi="Times New Roman" w:cs="Times New Roman"/>
          <w:sz w:val="24"/>
          <w:szCs w:val="24"/>
        </w:rPr>
        <w:t>activities</w:t>
      </w:r>
      <w:r w:rsidR="001A01BD">
        <w:rPr>
          <w:rFonts w:ascii="Times New Roman" w:hAnsi="Times New Roman" w:cs="Times New Roman"/>
          <w:sz w:val="24"/>
          <w:szCs w:val="24"/>
        </w:rPr>
        <w:t xml:space="preserve">.  </w:t>
      </w:r>
      <w:r>
        <w:rPr>
          <w:rFonts w:ascii="Times New Roman" w:hAnsi="Times New Roman" w:cs="Times New Roman"/>
          <w:sz w:val="24"/>
          <w:szCs w:val="24"/>
        </w:rPr>
        <w:t>We then evaluate the value of an investment created under each alternative at the end of 50 years—the assumed ending date of the proposed lease.  If annual cash flows for non-parking activities are equal for each alternative, then the alternative with the higher investment value at the end of 50 years would be more advantageous economically for the University.</w:t>
      </w:r>
    </w:p>
    <w:p w:rsidR="007A635C" w:rsidRDefault="007A635C" w:rsidP="00034D12">
      <w:pPr>
        <w:spacing w:before="0"/>
        <w:ind w:left="0" w:firstLine="0"/>
        <w:rPr>
          <w:rFonts w:ascii="Times New Roman" w:hAnsi="Times New Roman" w:cs="Times New Roman"/>
          <w:sz w:val="24"/>
          <w:szCs w:val="24"/>
        </w:rPr>
      </w:pPr>
    </w:p>
    <w:p w:rsidR="000350CB" w:rsidRDefault="00A74FD8"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T</w:t>
      </w:r>
      <w:r w:rsidR="001A01BD">
        <w:rPr>
          <w:rFonts w:ascii="Times New Roman" w:hAnsi="Times New Roman" w:cs="Times New Roman"/>
          <w:sz w:val="24"/>
          <w:szCs w:val="24"/>
        </w:rPr>
        <w:t xml:space="preserve">he analysis </w:t>
      </w:r>
      <w:r w:rsidR="009A6D33">
        <w:rPr>
          <w:rFonts w:ascii="Times New Roman" w:hAnsi="Times New Roman" w:cs="Times New Roman"/>
          <w:sz w:val="24"/>
          <w:szCs w:val="24"/>
        </w:rPr>
        <w:t xml:space="preserve">also </w:t>
      </w:r>
      <w:r>
        <w:rPr>
          <w:rFonts w:ascii="Times New Roman" w:hAnsi="Times New Roman" w:cs="Times New Roman"/>
          <w:sz w:val="24"/>
          <w:szCs w:val="24"/>
        </w:rPr>
        <w:t>examines</w:t>
      </w:r>
      <w:r w:rsidR="001A01BD">
        <w:rPr>
          <w:rFonts w:ascii="Times New Roman" w:hAnsi="Times New Roman" w:cs="Times New Roman"/>
          <w:sz w:val="24"/>
          <w:szCs w:val="24"/>
        </w:rPr>
        <w:t xml:space="preserve"> </w:t>
      </w:r>
      <w:r>
        <w:rPr>
          <w:rFonts w:ascii="Times New Roman" w:hAnsi="Times New Roman" w:cs="Times New Roman"/>
          <w:sz w:val="24"/>
          <w:szCs w:val="24"/>
        </w:rPr>
        <w:t>four</w:t>
      </w:r>
      <w:r w:rsidR="001A01BD">
        <w:rPr>
          <w:rFonts w:ascii="Times New Roman" w:hAnsi="Times New Roman" w:cs="Times New Roman"/>
          <w:sz w:val="24"/>
          <w:szCs w:val="24"/>
        </w:rPr>
        <w:t xml:space="preserve"> different </w:t>
      </w:r>
      <w:r w:rsidR="007A635C">
        <w:rPr>
          <w:rFonts w:ascii="Times New Roman" w:hAnsi="Times New Roman" w:cs="Times New Roman"/>
          <w:sz w:val="24"/>
          <w:szCs w:val="24"/>
        </w:rPr>
        <w:t xml:space="preserve">non-parking </w:t>
      </w:r>
      <w:r>
        <w:rPr>
          <w:rFonts w:ascii="Times New Roman" w:hAnsi="Times New Roman" w:cs="Times New Roman"/>
          <w:sz w:val="24"/>
          <w:szCs w:val="24"/>
        </w:rPr>
        <w:t>cash flow streams</w:t>
      </w:r>
      <w:r w:rsidR="009A6D33">
        <w:rPr>
          <w:rFonts w:ascii="Times New Roman" w:hAnsi="Times New Roman" w:cs="Times New Roman"/>
          <w:sz w:val="24"/>
          <w:szCs w:val="24"/>
        </w:rPr>
        <w:t>.</w:t>
      </w:r>
      <w:r>
        <w:rPr>
          <w:rFonts w:ascii="Times New Roman" w:hAnsi="Times New Roman" w:cs="Times New Roman"/>
          <w:sz w:val="24"/>
          <w:szCs w:val="24"/>
        </w:rPr>
        <w:t xml:space="preserve"> </w:t>
      </w:r>
      <w:r w:rsidR="009A6D33">
        <w:rPr>
          <w:rFonts w:ascii="Times New Roman" w:hAnsi="Times New Roman" w:cs="Times New Roman"/>
          <w:sz w:val="24"/>
          <w:szCs w:val="24"/>
        </w:rPr>
        <w:t xml:space="preserve"> </w:t>
      </w:r>
      <w:r>
        <w:rPr>
          <w:rFonts w:ascii="Times New Roman" w:hAnsi="Times New Roman" w:cs="Times New Roman"/>
          <w:sz w:val="24"/>
          <w:szCs w:val="24"/>
        </w:rPr>
        <w:t xml:space="preserve">This analysis </w:t>
      </w:r>
      <w:r w:rsidR="009A6D33">
        <w:rPr>
          <w:rFonts w:ascii="Times New Roman" w:hAnsi="Times New Roman" w:cs="Times New Roman"/>
          <w:sz w:val="24"/>
          <w:szCs w:val="24"/>
        </w:rPr>
        <w:t xml:space="preserve">demonstrates that the decision to select </w:t>
      </w:r>
      <w:r w:rsidR="00264FDE">
        <w:rPr>
          <w:rFonts w:ascii="Times New Roman" w:hAnsi="Times New Roman" w:cs="Times New Roman"/>
          <w:sz w:val="24"/>
          <w:szCs w:val="24"/>
        </w:rPr>
        <w:t>internal operations or an</w:t>
      </w:r>
      <w:r w:rsidR="009A6D33">
        <w:rPr>
          <w:rFonts w:ascii="Times New Roman" w:hAnsi="Times New Roman" w:cs="Times New Roman"/>
          <w:sz w:val="24"/>
          <w:szCs w:val="24"/>
        </w:rPr>
        <w:t xml:space="preserve"> </w:t>
      </w:r>
      <w:r>
        <w:rPr>
          <w:rFonts w:ascii="Times New Roman" w:hAnsi="Times New Roman" w:cs="Times New Roman"/>
          <w:sz w:val="24"/>
          <w:szCs w:val="24"/>
        </w:rPr>
        <w:t>external lease</w:t>
      </w:r>
      <w:r w:rsidR="00264FDE">
        <w:rPr>
          <w:rFonts w:ascii="Times New Roman" w:hAnsi="Times New Roman" w:cs="Times New Roman"/>
          <w:sz w:val="24"/>
          <w:szCs w:val="24"/>
        </w:rPr>
        <w:t xml:space="preserve"> </w:t>
      </w:r>
      <w:r w:rsidR="009A6D33">
        <w:rPr>
          <w:rFonts w:ascii="Times New Roman" w:hAnsi="Times New Roman" w:cs="Times New Roman"/>
          <w:sz w:val="24"/>
          <w:szCs w:val="24"/>
        </w:rPr>
        <w:t>is unaffected by the pattern of cash flows that will be used to support non-parking activities</w:t>
      </w:r>
      <w:r w:rsidR="00E01CE3">
        <w:rPr>
          <w:rFonts w:ascii="Times New Roman" w:hAnsi="Times New Roman" w:cs="Times New Roman"/>
          <w:sz w:val="24"/>
          <w:szCs w:val="24"/>
        </w:rPr>
        <w:t>.</w:t>
      </w:r>
    </w:p>
    <w:p w:rsidR="009A6D33" w:rsidRDefault="009A6D33" w:rsidP="007A48C4">
      <w:pPr>
        <w:spacing w:before="0"/>
        <w:ind w:left="0" w:firstLine="0"/>
        <w:rPr>
          <w:rFonts w:ascii="Times New Roman" w:hAnsi="Times New Roman" w:cs="Times New Roman"/>
          <w:sz w:val="24"/>
          <w:szCs w:val="24"/>
        </w:rPr>
      </w:pPr>
    </w:p>
    <w:p w:rsidR="00C25A5C" w:rsidRPr="00DB3B36" w:rsidRDefault="00DB3B36" w:rsidP="007A48C4">
      <w:pPr>
        <w:spacing w:before="0"/>
        <w:ind w:left="0" w:firstLine="0"/>
        <w:rPr>
          <w:rFonts w:ascii="Times New Roman" w:hAnsi="Times New Roman" w:cs="Times New Roman"/>
          <w:sz w:val="24"/>
          <w:szCs w:val="24"/>
          <w:u w:val="single"/>
        </w:rPr>
      </w:pPr>
      <w:r w:rsidRPr="00DB3B36">
        <w:rPr>
          <w:rFonts w:ascii="Times New Roman" w:hAnsi="Times New Roman" w:cs="Times New Roman"/>
          <w:sz w:val="24"/>
          <w:szCs w:val="24"/>
          <w:u w:val="single"/>
        </w:rPr>
        <w:t>Analysis of external-lease vs. internal-</w:t>
      </w:r>
      <w:r>
        <w:rPr>
          <w:rFonts w:ascii="Times New Roman" w:hAnsi="Times New Roman" w:cs="Times New Roman"/>
          <w:sz w:val="24"/>
          <w:szCs w:val="24"/>
          <w:u w:val="single"/>
        </w:rPr>
        <w:t>operation</w:t>
      </w:r>
      <w:r w:rsidRPr="00DB3B36">
        <w:rPr>
          <w:rFonts w:ascii="Times New Roman" w:hAnsi="Times New Roman" w:cs="Times New Roman"/>
          <w:sz w:val="24"/>
          <w:szCs w:val="24"/>
          <w:u w:val="single"/>
        </w:rPr>
        <w:t xml:space="preserve"> </w:t>
      </w:r>
      <w:r w:rsidR="00E01CE3">
        <w:rPr>
          <w:rFonts w:ascii="Times New Roman" w:hAnsi="Times New Roman" w:cs="Times New Roman"/>
          <w:sz w:val="24"/>
          <w:szCs w:val="24"/>
          <w:u w:val="single"/>
        </w:rPr>
        <w:t>alternatives</w:t>
      </w:r>
    </w:p>
    <w:p w:rsidR="00DB3B36" w:rsidRDefault="00DB3B36" w:rsidP="007A48C4">
      <w:pPr>
        <w:spacing w:before="0"/>
        <w:ind w:left="0" w:firstLine="0"/>
        <w:rPr>
          <w:rFonts w:ascii="Times New Roman" w:hAnsi="Times New Roman" w:cs="Times New Roman"/>
          <w:sz w:val="24"/>
          <w:szCs w:val="24"/>
        </w:rPr>
      </w:pPr>
    </w:p>
    <w:p w:rsidR="00567FB0" w:rsidRDefault="00DB3B36"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The external-lease </w:t>
      </w:r>
      <w:r w:rsidR="00E01CE3">
        <w:rPr>
          <w:rFonts w:ascii="Times New Roman" w:hAnsi="Times New Roman" w:cs="Times New Roman"/>
          <w:sz w:val="24"/>
          <w:szCs w:val="24"/>
        </w:rPr>
        <w:t>alternative</w:t>
      </w:r>
      <w:r>
        <w:rPr>
          <w:rFonts w:ascii="Times New Roman" w:hAnsi="Times New Roman" w:cs="Times New Roman"/>
          <w:sz w:val="24"/>
          <w:szCs w:val="24"/>
        </w:rPr>
        <w:t xml:space="preserve"> assumes that the University enters into a lease agreement with an external operator in exchange for a one-time payment, denoted B.</w:t>
      </w:r>
      <w:r>
        <w:rPr>
          <w:rStyle w:val="FootnoteReference"/>
          <w:rFonts w:ascii="Times New Roman" w:hAnsi="Times New Roman" w:cs="Times New Roman"/>
          <w:sz w:val="24"/>
          <w:szCs w:val="24"/>
        </w:rPr>
        <w:footnoteReference w:id="4"/>
      </w:r>
      <w:r w:rsidR="00567FB0">
        <w:rPr>
          <w:rFonts w:ascii="Times New Roman" w:hAnsi="Times New Roman" w:cs="Times New Roman"/>
          <w:sz w:val="24"/>
          <w:szCs w:val="24"/>
        </w:rPr>
        <w:t xml:space="preserve">  T</w:t>
      </w:r>
      <w:r>
        <w:rPr>
          <w:rFonts w:ascii="Times New Roman" w:hAnsi="Times New Roman" w:cs="Times New Roman"/>
          <w:sz w:val="24"/>
          <w:szCs w:val="24"/>
        </w:rPr>
        <w:t>h</w:t>
      </w:r>
      <w:r w:rsidR="00567FB0">
        <w:rPr>
          <w:rFonts w:ascii="Times New Roman" w:hAnsi="Times New Roman" w:cs="Times New Roman"/>
          <w:sz w:val="24"/>
          <w:szCs w:val="24"/>
        </w:rPr>
        <w:t xml:space="preserve">is amount is </w:t>
      </w:r>
      <w:r>
        <w:rPr>
          <w:rFonts w:ascii="Times New Roman" w:hAnsi="Times New Roman" w:cs="Times New Roman"/>
          <w:sz w:val="24"/>
          <w:szCs w:val="24"/>
        </w:rPr>
        <w:t>assumed to be invested in the University’s</w:t>
      </w:r>
      <w:r w:rsidR="00E01CE3">
        <w:rPr>
          <w:rFonts w:ascii="Times New Roman" w:hAnsi="Times New Roman" w:cs="Times New Roman"/>
          <w:sz w:val="24"/>
          <w:szCs w:val="24"/>
        </w:rPr>
        <w:t xml:space="preserve"> long-term investment portfolio (</w:t>
      </w:r>
      <w:r>
        <w:rPr>
          <w:rFonts w:ascii="Times New Roman" w:hAnsi="Times New Roman" w:cs="Times New Roman"/>
          <w:sz w:val="24"/>
          <w:szCs w:val="24"/>
        </w:rPr>
        <w:t>LTIP.</w:t>
      </w:r>
      <w:r w:rsidR="00E01CE3">
        <w:rPr>
          <w:rFonts w:ascii="Times New Roman" w:hAnsi="Times New Roman" w:cs="Times New Roman"/>
          <w:sz w:val="24"/>
          <w:szCs w:val="24"/>
        </w:rPr>
        <w:t>)</w:t>
      </w:r>
      <w:r w:rsidR="00567FB0">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567FB0">
        <w:rPr>
          <w:rFonts w:ascii="Times New Roman" w:hAnsi="Times New Roman" w:cs="Times New Roman"/>
          <w:sz w:val="24"/>
          <w:szCs w:val="24"/>
        </w:rPr>
        <w:t xml:space="preserve"> The LTIP is assumed to earn a return, denoted </w:t>
      </w:r>
      <w:proofErr w:type="spellStart"/>
      <w:proofErr w:type="gramStart"/>
      <w:r w:rsidR="00567FB0" w:rsidRPr="00567FB0">
        <w:rPr>
          <w:rFonts w:ascii="Times New Roman" w:hAnsi="Times New Roman" w:cs="Times New Roman"/>
          <w:i/>
          <w:sz w:val="24"/>
          <w:szCs w:val="24"/>
        </w:rPr>
        <w:t>r</w:t>
      </w:r>
      <w:r w:rsidR="00567FB0" w:rsidRPr="00567FB0">
        <w:rPr>
          <w:rFonts w:ascii="Times New Roman" w:hAnsi="Times New Roman" w:cs="Times New Roman"/>
          <w:i/>
          <w:sz w:val="24"/>
          <w:szCs w:val="24"/>
          <w:vertAlign w:val="subscript"/>
        </w:rPr>
        <w:t>t</w:t>
      </w:r>
      <w:proofErr w:type="spellEnd"/>
      <w:proofErr w:type="gramEnd"/>
      <w:r w:rsidR="00567FB0">
        <w:rPr>
          <w:rFonts w:ascii="Times New Roman" w:hAnsi="Times New Roman" w:cs="Times New Roman"/>
          <w:sz w:val="24"/>
          <w:szCs w:val="24"/>
        </w:rPr>
        <w:t xml:space="preserve">, that can vary over time.  For simplicity, the spreadsheet maintains a constant return during each of ten five-year periods, but permits returns to vary across each of these ten five-year periods.  </w:t>
      </w:r>
      <w:r w:rsidR="002D6009">
        <w:rPr>
          <w:rFonts w:ascii="Times New Roman" w:hAnsi="Times New Roman" w:cs="Times New Roman"/>
          <w:sz w:val="24"/>
          <w:szCs w:val="24"/>
        </w:rPr>
        <w:t xml:space="preserve">Finally, assume that the University withdraws a fraction, denoted </w:t>
      </w:r>
      <w:proofErr w:type="spellStart"/>
      <w:proofErr w:type="gramStart"/>
      <w:r w:rsidR="002D6009">
        <w:rPr>
          <w:rFonts w:ascii="Times New Roman" w:hAnsi="Times New Roman" w:cs="Times New Roman"/>
          <w:i/>
          <w:sz w:val="24"/>
          <w:szCs w:val="24"/>
        </w:rPr>
        <w:t>d</w:t>
      </w:r>
      <w:r w:rsidR="002D6009" w:rsidRPr="00567FB0">
        <w:rPr>
          <w:rFonts w:ascii="Times New Roman" w:hAnsi="Times New Roman" w:cs="Times New Roman"/>
          <w:i/>
          <w:sz w:val="24"/>
          <w:szCs w:val="24"/>
          <w:vertAlign w:val="subscript"/>
        </w:rPr>
        <w:t>t</w:t>
      </w:r>
      <w:proofErr w:type="spellEnd"/>
      <w:proofErr w:type="gramEnd"/>
      <w:r w:rsidR="002D6009">
        <w:rPr>
          <w:rFonts w:ascii="Times New Roman" w:hAnsi="Times New Roman" w:cs="Times New Roman"/>
          <w:sz w:val="24"/>
          <w:szCs w:val="24"/>
        </w:rPr>
        <w:t xml:space="preserve">, of the start-of-year value of the LTIP at the end of each year to pay for </w:t>
      </w:r>
      <w:r w:rsidR="00E01CE3">
        <w:rPr>
          <w:rFonts w:ascii="Times New Roman" w:hAnsi="Times New Roman" w:cs="Times New Roman"/>
          <w:sz w:val="24"/>
          <w:szCs w:val="24"/>
        </w:rPr>
        <w:t>non-parking</w:t>
      </w:r>
      <w:r w:rsidR="002D6009">
        <w:rPr>
          <w:rFonts w:ascii="Times New Roman" w:hAnsi="Times New Roman" w:cs="Times New Roman"/>
          <w:sz w:val="24"/>
          <w:szCs w:val="24"/>
        </w:rPr>
        <w:t xml:space="preserve"> activities.</w:t>
      </w:r>
      <w:r w:rsidR="002D6009">
        <w:rPr>
          <w:rStyle w:val="FootnoteReference"/>
          <w:rFonts w:ascii="Times New Roman" w:hAnsi="Times New Roman" w:cs="Times New Roman"/>
          <w:sz w:val="24"/>
          <w:szCs w:val="24"/>
        </w:rPr>
        <w:footnoteReference w:id="6"/>
      </w:r>
      <w:r w:rsidR="00CF38AA">
        <w:rPr>
          <w:rFonts w:ascii="Times New Roman" w:hAnsi="Times New Roman" w:cs="Times New Roman"/>
          <w:sz w:val="24"/>
          <w:szCs w:val="24"/>
        </w:rPr>
        <w:t xml:space="preserve">  The end-of-year balance in the LTIP can then be expressed as:</w:t>
      </w:r>
    </w:p>
    <w:p w:rsidR="00CF38AA" w:rsidRDefault="00CF38AA" w:rsidP="007A48C4">
      <w:pPr>
        <w:spacing w:before="0"/>
        <w:ind w:left="0" w:firstLine="0"/>
        <w:rPr>
          <w:rFonts w:ascii="Times New Roman" w:hAnsi="Times New Roman" w:cs="Times New Roman"/>
          <w:sz w:val="24"/>
          <w:szCs w:val="24"/>
        </w:rPr>
      </w:pPr>
    </w:p>
    <w:p w:rsidR="00CF38AA" w:rsidRDefault="00CF38AA" w:rsidP="00CF38AA">
      <w:pPr>
        <w:spacing w:before="0"/>
        <w:ind w:left="0" w:firstLine="0"/>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LTIP</m:t>
            </m:r>
          </m:e>
          <m:sub>
            <m:r>
              <w:rPr>
                <w:rFonts w:ascii="Cambria Math" w:hAnsi="Cambria Math" w:cs="Times New Roman"/>
                <w:sz w:val="24"/>
                <w:szCs w:val="24"/>
              </w:rPr>
              <m:t>t</m:t>
            </m:r>
          </m:sub>
        </m:sSub>
      </m:oMath>
      <w:r w:rsidR="00D233C5">
        <w:rPr>
          <w:rFonts w:ascii="Times New Roman" w:hAnsi="Times New Roman" w:cs="Times New Roman"/>
          <w:i/>
          <w:sz w:val="24"/>
          <w:szCs w:val="24"/>
        </w:rPr>
        <w:t xml:space="preserve"> = V</w:t>
      </w:r>
      <w:r w:rsidRPr="00F40118">
        <w:rPr>
          <w:rFonts w:ascii="Times New Roman" w:hAnsi="Times New Roman" w:cs="Times New Roman"/>
          <w:i/>
          <w:sz w:val="24"/>
          <w:szCs w:val="24"/>
        </w:rPr>
        <w:t xml:space="preserve">alue </w:t>
      </w:r>
      <w:r>
        <w:rPr>
          <w:rFonts w:ascii="Times New Roman" w:hAnsi="Times New Roman" w:cs="Times New Roman"/>
          <w:i/>
          <w:sz w:val="24"/>
          <w:szCs w:val="24"/>
        </w:rPr>
        <w:t>of LTIP at time 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LTIP</m:t>
            </m:r>
          </m:e>
          <m:sub>
            <m:r>
              <w:rPr>
                <w:rFonts w:ascii="Cambria Math" w:hAnsi="Cambria Math" w:cs="Times New Roman"/>
                <w:sz w:val="24"/>
                <w:szCs w:val="24"/>
              </w:rPr>
              <m:t>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e>
            </m:d>
          </m:e>
          <m:sup/>
        </m:sSup>
      </m:oMath>
      <w:r>
        <w:rPr>
          <w:rFonts w:ascii="Times New Roman" w:eastAsiaTheme="minorEastAsia" w:hAnsi="Times New Roman" w:cs="Times New Roman"/>
          <w:sz w:val="24"/>
          <w:szCs w:val="24"/>
        </w:rPr>
        <w:t xml:space="preserve"> </w:t>
      </w:r>
    </w:p>
    <w:p w:rsidR="00CF38AA" w:rsidRDefault="001D0458"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ab/>
      </w:r>
    </w:p>
    <w:p w:rsidR="002D6009" w:rsidRDefault="001D0458"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LTIP</m:t>
            </m:r>
          </m:e>
          <m:sub>
            <m:r>
              <w:rPr>
                <w:rFonts w:ascii="Cambria Math" w:hAnsi="Cambria Math" w:cs="Times New Roman"/>
                <w:sz w:val="24"/>
                <w:szCs w:val="24"/>
              </w:rPr>
              <m:t>0</m:t>
            </m:r>
          </m:sub>
        </m:sSub>
        <m:r>
          <w:rPr>
            <w:rFonts w:ascii="Cambria Math" w:hAnsi="Cambria Math" w:cs="Times New Roman"/>
            <w:sz w:val="24"/>
            <w:szCs w:val="24"/>
          </w:rPr>
          <m:t>=B</m:t>
        </m:r>
      </m:oMath>
    </w:p>
    <w:p w:rsidR="00DB3B36" w:rsidRDefault="00DB3B36"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FC1D8B" w:rsidRDefault="001D0458"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The internal-operation </w:t>
      </w:r>
      <w:r w:rsidR="005E53F6">
        <w:rPr>
          <w:rFonts w:ascii="Times New Roman" w:hAnsi="Times New Roman" w:cs="Times New Roman"/>
          <w:sz w:val="24"/>
          <w:szCs w:val="24"/>
        </w:rPr>
        <w:t>alternative</w:t>
      </w:r>
      <w:r>
        <w:rPr>
          <w:rFonts w:ascii="Times New Roman" w:hAnsi="Times New Roman" w:cs="Times New Roman"/>
          <w:sz w:val="24"/>
          <w:szCs w:val="24"/>
        </w:rPr>
        <w:t xml:space="preserve"> assumes that the University continues to operate the parking facilities.  Each year, the University receives revenues from parking operations and pays for operations and capital expenditures.  </w:t>
      </w:r>
      <w:r w:rsidR="00FC1D8B">
        <w:rPr>
          <w:rFonts w:ascii="Times New Roman" w:hAnsi="Times New Roman" w:cs="Times New Roman"/>
          <w:sz w:val="24"/>
          <w:szCs w:val="24"/>
        </w:rPr>
        <w:t>Modeling these amounts begins with estimated amounts that the external operator would incur.  For example, revenues are estimated to be $30,000,000 for the 2012-13 fiscal year.  Revenue in subsequent years is assumed to increase at a rate that is constant during each of ten five-year period</w:t>
      </w:r>
      <w:r w:rsidR="005E53F6">
        <w:rPr>
          <w:rFonts w:ascii="Times New Roman" w:hAnsi="Times New Roman" w:cs="Times New Roman"/>
          <w:sz w:val="24"/>
          <w:szCs w:val="24"/>
        </w:rPr>
        <w:t>s</w:t>
      </w:r>
      <w:r w:rsidR="00FC1D8B">
        <w:rPr>
          <w:rFonts w:ascii="Times New Roman" w:hAnsi="Times New Roman" w:cs="Times New Roman"/>
          <w:sz w:val="24"/>
          <w:szCs w:val="24"/>
        </w:rPr>
        <w:t xml:space="preserve">; the increase can vary across each of these ten five-year periods.  </w:t>
      </w:r>
      <w:r>
        <w:rPr>
          <w:rFonts w:ascii="Times New Roman" w:hAnsi="Times New Roman" w:cs="Times New Roman"/>
          <w:sz w:val="24"/>
          <w:szCs w:val="24"/>
        </w:rPr>
        <w:t xml:space="preserve">The University and the operator might follow different policies for generating revenues or for incurring operating expenses or capital expenditures.  To accommodate differences, the spreadsheet </w:t>
      </w:r>
      <w:r w:rsidR="00FC1D8B">
        <w:rPr>
          <w:rFonts w:ascii="Times New Roman" w:hAnsi="Times New Roman" w:cs="Times New Roman"/>
          <w:sz w:val="24"/>
          <w:szCs w:val="24"/>
        </w:rPr>
        <w:t xml:space="preserve">includes </w:t>
      </w:r>
      <w:r>
        <w:rPr>
          <w:rFonts w:ascii="Times New Roman" w:hAnsi="Times New Roman" w:cs="Times New Roman"/>
          <w:sz w:val="24"/>
          <w:szCs w:val="24"/>
        </w:rPr>
        <w:t>parameters that can be set to model</w:t>
      </w:r>
      <w:r w:rsidR="00264FDE">
        <w:rPr>
          <w:rFonts w:ascii="Times New Roman" w:hAnsi="Times New Roman" w:cs="Times New Roman"/>
          <w:sz w:val="24"/>
          <w:szCs w:val="24"/>
        </w:rPr>
        <w:t xml:space="preserve"> these</w:t>
      </w:r>
      <w:r>
        <w:rPr>
          <w:rFonts w:ascii="Times New Roman" w:hAnsi="Times New Roman" w:cs="Times New Roman"/>
          <w:sz w:val="24"/>
          <w:szCs w:val="24"/>
        </w:rPr>
        <w:t xml:space="preserve"> differences.  For example, the revenue generated if the University manages parking operations might be </w:t>
      </w:r>
      <w:r w:rsidR="00FC1D8B">
        <w:rPr>
          <w:rFonts w:ascii="Times New Roman" w:hAnsi="Times New Roman" w:cs="Times New Roman"/>
          <w:sz w:val="24"/>
          <w:szCs w:val="24"/>
        </w:rPr>
        <w:t>set to</w:t>
      </w:r>
      <w:r w:rsidR="00C800B4">
        <w:rPr>
          <w:rFonts w:ascii="Times New Roman" w:hAnsi="Times New Roman" w:cs="Times New Roman"/>
          <w:sz w:val="24"/>
          <w:szCs w:val="24"/>
        </w:rPr>
        <w:t>, e.g.,</w:t>
      </w:r>
      <w:r w:rsidR="00FC1D8B">
        <w:rPr>
          <w:rFonts w:ascii="Times New Roman" w:hAnsi="Times New Roman" w:cs="Times New Roman"/>
          <w:sz w:val="24"/>
          <w:szCs w:val="24"/>
        </w:rPr>
        <w:t xml:space="preserve"> 105 percent or 95 percent of the reve</w:t>
      </w:r>
      <w:r>
        <w:rPr>
          <w:rFonts w:ascii="Times New Roman" w:hAnsi="Times New Roman" w:cs="Times New Roman"/>
          <w:sz w:val="24"/>
          <w:szCs w:val="24"/>
        </w:rPr>
        <w:t xml:space="preserve">nue generated by an external operator. </w:t>
      </w:r>
      <w:r w:rsidR="00FC1D8B">
        <w:rPr>
          <w:rFonts w:ascii="Times New Roman" w:hAnsi="Times New Roman" w:cs="Times New Roman"/>
          <w:sz w:val="24"/>
          <w:szCs w:val="24"/>
        </w:rPr>
        <w:t xml:space="preserve"> T</w:t>
      </w:r>
      <w:r w:rsidR="005E53F6">
        <w:rPr>
          <w:rFonts w:ascii="Times New Roman" w:hAnsi="Times New Roman" w:cs="Times New Roman"/>
          <w:sz w:val="24"/>
          <w:szCs w:val="24"/>
        </w:rPr>
        <w:t xml:space="preserve">he difference between revenues and </w:t>
      </w:r>
      <w:r w:rsidR="00FC1D8B">
        <w:rPr>
          <w:rFonts w:ascii="Times New Roman" w:hAnsi="Times New Roman" w:cs="Times New Roman"/>
          <w:sz w:val="24"/>
          <w:szCs w:val="24"/>
        </w:rPr>
        <w:t xml:space="preserve">operating expenses and capital expenditures is assumed to be used for two </w:t>
      </w:r>
      <w:r w:rsidR="00FC1D8B">
        <w:rPr>
          <w:rFonts w:ascii="Times New Roman" w:hAnsi="Times New Roman" w:cs="Times New Roman"/>
          <w:sz w:val="24"/>
          <w:szCs w:val="24"/>
        </w:rPr>
        <w:lastRenderedPageBreak/>
        <w:t xml:space="preserve">purposes: </w:t>
      </w:r>
      <w:proofErr w:type="gramStart"/>
      <w:r w:rsidR="00FC1D8B">
        <w:rPr>
          <w:rFonts w:ascii="Times New Roman" w:hAnsi="Times New Roman" w:cs="Times New Roman"/>
          <w:sz w:val="24"/>
          <w:szCs w:val="24"/>
        </w:rPr>
        <w:t xml:space="preserve">(1) to pay for </w:t>
      </w:r>
      <w:r w:rsidR="005E53F6">
        <w:rPr>
          <w:rFonts w:ascii="Times New Roman" w:hAnsi="Times New Roman" w:cs="Times New Roman"/>
          <w:sz w:val="24"/>
          <w:szCs w:val="24"/>
        </w:rPr>
        <w:t xml:space="preserve">non-parking </w:t>
      </w:r>
      <w:r w:rsidR="00FC1D8B">
        <w:rPr>
          <w:rFonts w:ascii="Times New Roman" w:hAnsi="Times New Roman" w:cs="Times New Roman"/>
          <w:sz w:val="24"/>
          <w:szCs w:val="24"/>
        </w:rPr>
        <w:t>activities, and (2) to invest in the University</w:t>
      </w:r>
      <w:proofErr w:type="gramEnd"/>
      <w:r w:rsidR="00FC1D8B">
        <w:rPr>
          <w:rFonts w:ascii="Times New Roman" w:hAnsi="Times New Roman" w:cs="Times New Roman"/>
          <w:sz w:val="24"/>
          <w:szCs w:val="24"/>
        </w:rPr>
        <w:t xml:space="preserve">’s LTIP.  In order to design an apples-to-apples comparison, the amount that is assumed to pay for </w:t>
      </w:r>
      <w:r w:rsidR="005E53F6">
        <w:rPr>
          <w:rFonts w:ascii="Times New Roman" w:hAnsi="Times New Roman" w:cs="Times New Roman"/>
          <w:sz w:val="24"/>
          <w:szCs w:val="24"/>
        </w:rPr>
        <w:t>non-parking</w:t>
      </w:r>
      <w:r w:rsidR="00FC1D8B">
        <w:rPr>
          <w:rFonts w:ascii="Times New Roman" w:hAnsi="Times New Roman" w:cs="Times New Roman"/>
          <w:sz w:val="24"/>
          <w:szCs w:val="24"/>
        </w:rPr>
        <w:t xml:space="preserve"> activities is set each year to be equal to the amount assumed to be </w:t>
      </w:r>
      <w:r w:rsidR="005E53F6">
        <w:rPr>
          <w:rFonts w:ascii="Times New Roman" w:hAnsi="Times New Roman" w:cs="Times New Roman"/>
          <w:sz w:val="24"/>
          <w:szCs w:val="24"/>
        </w:rPr>
        <w:t>distributed</w:t>
      </w:r>
      <w:r w:rsidR="00FC1D8B">
        <w:rPr>
          <w:rFonts w:ascii="Times New Roman" w:hAnsi="Times New Roman" w:cs="Times New Roman"/>
          <w:sz w:val="24"/>
          <w:szCs w:val="24"/>
        </w:rPr>
        <w:t xml:space="preserve"> from the LTIP if the external-lease </w:t>
      </w:r>
      <w:r w:rsidR="005E53F6">
        <w:rPr>
          <w:rFonts w:ascii="Times New Roman" w:hAnsi="Times New Roman" w:cs="Times New Roman"/>
          <w:sz w:val="24"/>
          <w:szCs w:val="24"/>
        </w:rPr>
        <w:t>alternative</w:t>
      </w:r>
      <w:r w:rsidR="00FC1D8B">
        <w:rPr>
          <w:rFonts w:ascii="Times New Roman" w:hAnsi="Times New Roman" w:cs="Times New Roman"/>
          <w:sz w:val="24"/>
          <w:szCs w:val="24"/>
        </w:rPr>
        <w:t xml:space="preserve"> is chosen.</w:t>
      </w:r>
      <w:r w:rsidR="00C800B4">
        <w:rPr>
          <w:rStyle w:val="FootnoteReference"/>
          <w:rFonts w:ascii="Times New Roman" w:hAnsi="Times New Roman" w:cs="Times New Roman"/>
          <w:sz w:val="24"/>
          <w:szCs w:val="24"/>
        </w:rPr>
        <w:footnoteReference w:id="7"/>
      </w:r>
      <w:r w:rsidR="00FC1D8B">
        <w:rPr>
          <w:rFonts w:ascii="Times New Roman" w:hAnsi="Times New Roman" w:cs="Times New Roman"/>
          <w:sz w:val="24"/>
          <w:szCs w:val="24"/>
        </w:rPr>
        <w:t xml:space="preserve">  The remaining</w:t>
      </w:r>
      <w:r w:rsidR="00894124">
        <w:rPr>
          <w:rFonts w:ascii="Times New Roman" w:hAnsi="Times New Roman" w:cs="Times New Roman"/>
          <w:sz w:val="24"/>
          <w:szCs w:val="24"/>
        </w:rPr>
        <w:t xml:space="preserve"> amount is invested in the LTIP that would be created under the internal-operation </w:t>
      </w:r>
      <w:r w:rsidR="005E53F6">
        <w:rPr>
          <w:rFonts w:ascii="Times New Roman" w:hAnsi="Times New Roman" w:cs="Times New Roman"/>
          <w:sz w:val="24"/>
          <w:szCs w:val="24"/>
        </w:rPr>
        <w:t>alternative</w:t>
      </w:r>
      <w:r w:rsidR="00894124">
        <w:rPr>
          <w:rFonts w:ascii="Times New Roman" w:hAnsi="Times New Roman" w:cs="Times New Roman"/>
          <w:sz w:val="24"/>
          <w:szCs w:val="24"/>
        </w:rPr>
        <w:t>.</w:t>
      </w:r>
    </w:p>
    <w:p w:rsidR="00894124" w:rsidRDefault="00894124" w:rsidP="007A48C4">
      <w:pPr>
        <w:spacing w:before="0"/>
        <w:ind w:left="0" w:firstLine="0"/>
        <w:rPr>
          <w:rFonts w:ascii="Times New Roman" w:hAnsi="Times New Roman" w:cs="Times New Roman"/>
          <w:sz w:val="24"/>
          <w:szCs w:val="24"/>
        </w:rPr>
      </w:pPr>
    </w:p>
    <w:p w:rsidR="00894124" w:rsidRDefault="00894124"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Table 1 shows projected amounts in the LTIP on June 30, 2062 under various parameterizations for the external-lease and the internal-operation </w:t>
      </w:r>
      <w:r w:rsidR="005E53F6">
        <w:rPr>
          <w:rFonts w:ascii="Times New Roman" w:hAnsi="Times New Roman" w:cs="Times New Roman"/>
          <w:sz w:val="24"/>
          <w:szCs w:val="24"/>
        </w:rPr>
        <w:t>alternatives</w:t>
      </w:r>
      <w:r>
        <w:rPr>
          <w:rFonts w:ascii="Times New Roman" w:hAnsi="Times New Roman" w:cs="Times New Roman"/>
          <w:sz w:val="24"/>
          <w:szCs w:val="24"/>
        </w:rPr>
        <w:t xml:space="preserve">.  The table also shows the total amount of cash that would be distributed to support </w:t>
      </w:r>
      <w:r w:rsidR="005E53F6">
        <w:rPr>
          <w:rFonts w:ascii="Times New Roman" w:hAnsi="Times New Roman" w:cs="Times New Roman"/>
          <w:sz w:val="24"/>
          <w:szCs w:val="24"/>
        </w:rPr>
        <w:t>non-parking</w:t>
      </w:r>
      <w:r>
        <w:rPr>
          <w:rFonts w:ascii="Times New Roman" w:hAnsi="Times New Roman" w:cs="Times New Roman"/>
          <w:sz w:val="24"/>
          <w:szCs w:val="24"/>
        </w:rPr>
        <w:t xml:space="preserve"> activities during the 50-year period.  These amounts should be interpreted in recognition that 50 years is a very long time (!) and many prices are likely to change significantly over 50 years.  For comparison, consider these price changes from 1962 to 2012:</w:t>
      </w:r>
    </w:p>
    <w:p w:rsidR="00894124" w:rsidRDefault="00894124" w:rsidP="007A48C4">
      <w:pPr>
        <w:spacing w:before="0"/>
        <w:ind w:left="0" w:firstLine="0"/>
        <w:rPr>
          <w:rFonts w:ascii="Times New Roman" w:hAnsi="Times New Roman" w:cs="Times New Roman"/>
          <w:sz w:val="24"/>
          <w:szCs w:val="24"/>
        </w:rPr>
      </w:pPr>
    </w:p>
    <w:tbl>
      <w:tblPr>
        <w:tblStyle w:val="TableGrid"/>
        <w:tblW w:w="0" w:type="auto"/>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2610"/>
        <w:gridCol w:w="2178"/>
      </w:tblGrid>
      <w:tr w:rsidR="00894124" w:rsidTr="00894124">
        <w:trPr>
          <w:jc w:val="center"/>
        </w:trPr>
        <w:tc>
          <w:tcPr>
            <w:tcW w:w="4050" w:type="dxa"/>
          </w:tcPr>
          <w:p w:rsidR="00894124" w:rsidRPr="00894124" w:rsidRDefault="00894124" w:rsidP="004E6B5E">
            <w:pPr>
              <w:spacing w:before="0"/>
              <w:ind w:left="0" w:firstLine="0"/>
              <w:jc w:val="center"/>
              <w:rPr>
                <w:rFonts w:ascii="Times New Roman" w:hAnsi="Times New Roman" w:cs="Times New Roman"/>
                <w:sz w:val="24"/>
                <w:szCs w:val="24"/>
                <w:u w:val="single"/>
              </w:rPr>
            </w:pPr>
            <w:r w:rsidRPr="00894124">
              <w:rPr>
                <w:rFonts w:ascii="Times New Roman" w:hAnsi="Times New Roman" w:cs="Times New Roman"/>
                <w:sz w:val="24"/>
                <w:szCs w:val="24"/>
                <w:u w:val="single"/>
              </w:rPr>
              <w:t>Item</w:t>
            </w:r>
          </w:p>
        </w:tc>
        <w:tc>
          <w:tcPr>
            <w:tcW w:w="2610" w:type="dxa"/>
          </w:tcPr>
          <w:p w:rsidR="00894124" w:rsidRPr="00894124" w:rsidRDefault="00894124" w:rsidP="00894124">
            <w:pPr>
              <w:spacing w:before="0"/>
              <w:ind w:left="0" w:firstLine="0"/>
              <w:jc w:val="right"/>
              <w:rPr>
                <w:rFonts w:ascii="Times New Roman" w:hAnsi="Times New Roman" w:cs="Times New Roman"/>
                <w:sz w:val="24"/>
                <w:szCs w:val="24"/>
                <w:u w:val="single"/>
              </w:rPr>
            </w:pPr>
            <w:r w:rsidRPr="00894124">
              <w:rPr>
                <w:rFonts w:ascii="Times New Roman" w:hAnsi="Times New Roman" w:cs="Times New Roman"/>
                <w:sz w:val="24"/>
                <w:szCs w:val="24"/>
                <w:u w:val="single"/>
              </w:rPr>
              <w:t>1962 price</w:t>
            </w:r>
          </w:p>
        </w:tc>
        <w:tc>
          <w:tcPr>
            <w:tcW w:w="2178" w:type="dxa"/>
          </w:tcPr>
          <w:p w:rsidR="00894124" w:rsidRPr="00894124" w:rsidRDefault="00894124" w:rsidP="00894124">
            <w:pPr>
              <w:spacing w:before="0"/>
              <w:ind w:left="0" w:firstLine="0"/>
              <w:jc w:val="right"/>
              <w:rPr>
                <w:rFonts w:ascii="Times New Roman" w:hAnsi="Times New Roman" w:cs="Times New Roman"/>
                <w:sz w:val="24"/>
                <w:szCs w:val="24"/>
                <w:u w:val="single"/>
              </w:rPr>
            </w:pPr>
            <w:r w:rsidRPr="00894124">
              <w:rPr>
                <w:rFonts w:ascii="Times New Roman" w:hAnsi="Times New Roman" w:cs="Times New Roman"/>
                <w:sz w:val="24"/>
                <w:szCs w:val="24"/>
                <w:u w:val="single"/>
              </w:rPr>
              <w:t>2012 price</w:t>
            </w:r>
          </w:p>
        </w:tc>
      </w:tr>
      <w:tr w:rsidR="00894124" w:rsidTr="00894124">
        <w:trPr>
          <w:jc w:val="center"/>
        </w:trPr>
        <w:tc>
          <w:tcPr>
            <w:tcW w:w="4050" w:type="dxa"/>
          </w:tcPr>
          <w:p w:rsidR="00894124" w:rsidRDefault="006428B5" w:rsidP="006428B5">
            <w:pPr>
              <w:spacing w:before="0"/>
              <w:ind w:left="0" w:firstLine="0"/>
              <w:rPr>
                <w:rFonts w:ascii="Times New Roman" w:hAnsi="Times New Roman" w:cs="Times New Roman"/>
                <w:sz w:val="24"/>
                <w:szCs w:val="24"/>
              </w:rPr>
            </w:pPr>
            <w:r>
              <w:rPr>
                <w:rFonts w:ascii="Times New Roman" w:hAnsi="Times New Roman" w:cs="Times New Roman"/>
                <w:sz w:val="24"/>
                <w:szCs w:val="24"/>
              </w:rPr>
              <w:t>Example t</w:t>
            </w:r>
            <w:r w:rsidR="006A5F9B">
              <w:rPr>
                <w:rFonts w:ascii="Times New Roman" w:hAnsi="Times New Roman" w:cs="Times New Roman"/>
                <w:sz w:val="24"/>
                <w:szCs w:val="24"/>
              </w:rPr>
              <w:t>uition</w:t>
            </w:r>
            <w:r w:rsidR="006A5F9B">
              <w:rPr>
                <w:rStyle w:val="FootnoteReference"/>
                <w:rFonts w:ascii="Times New Roman" w:hAnsi="Times New Roman" w:cs="Times New Roman"/>
                <w:sz w:val="24"/>
                <w:szCs w:val="24"/>
              </w:rPr>
              <w:footnoteReference w:id="8"/>
            </w:r>
          </w:p>
        </w:tc>
        <w:tc>
          <w:tcPr>
            <w:tcW w:w="2610" w:type="dxa"/>
          </w:tcPr>
          <w:p w:rsidR="00894124" w:rsidRDefault="006A5F9B"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$290</w:t>
            </w:r>
          </w:p>
        </w:tc>
        <w:tc>
          <w:tcPr>
            <w:tcW w:w="2178" w:type="dxa"/>
          </w:tcPr>
          <w:p w:rsidR="00894124" w:rsidRDefault="006A5F9B"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$8,057</w:t>
            </w:r>
          </w:p>
        </w:tc>
      </w:tr>
      <w:tr w:rsidR="00894124" w:rsidTr="00894124">
        <w:trPr>
          <w:jc w:val="center"/>
        </w:trPr>
        <w:tc>
          <w:tcPr>
            <w:tcW w:w="4050" w:type="dxa"/>
          </w:tcPr>
          <w:p w:rsidR="00894124" w:rsidRDefault="006428B5" w:rsidP="006428B5">
            <w:pPr>
              <w:spacing w:before="0"/>
              <w:ind w:left="0" w:firstLine="0"/>
              <w:rPr>
                <w:rFonts w:ascii="Times New Roman" w:hAnsi="Times New Roman" w:cs="Times New Roman"/>
                <w:sz w:val="24"/>
                <w:szCs w:val="24"/>
              </w:rPr>
            </w:pPr>
            <w:r>
              <w:rPr>
                <w:rFonts w:ascii="Times New Roman" w:hAnsi="Times New Roman" w:cs="Times New Roman"/>
                <w:sz w:val="24"/>
                <w:szCs w:val="24"/>
              </w:rPr>
              <w:t>Example salary of professor</w:t>
            </w:r>
            <w:r>
              <w:rPr>
                <w:rStyle w:val="FootnoteReference"/>
                <w:rFonts w:ascii="Times New Roman" w:hAnsi="Times New Roman" w:cs="Times New Roman"/>
                <w:sz w:val="24"/>
                <w:szCs w:val="24"/>
              </w:rPr>
              <w:footnoteReference w:id="9"/>
            </w:r>
          </w:p>
        </w:tc>
        <w:tc>
          <w:tcPr>
            <w:tcW w:w="2610" w:type="dxa"/>
          </w:tcPr>
          <w:p w:rsidR="00894124" w:rsidRDefault="006428B5"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$12,192</w:t>
            </w:r>
          </w:p>
        </w:tc>
        <w:tc>
          <w:tcPr>
            <w:tcW w:w="2178" w:type="dxa"/>
          </w:tcPr>
          <w:p w:rsidR="00894124" w:rsidRDefault="006428B5"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$103,095</w:t>
            </w:r>
          </w:p>
        </w:tc>
      </w:tr>
      <w:tr w:rsidR="00106205" w:rsidTr="00894124">
        <w:trPr>
          <w:jc w:val="center"/>
        </w:trPr>
        <w:tc>
          <w:tcPr>
            <w:tcW w:w="4050" w:type="dxa"/>
          </w:tcPr>
          <w:p w:rsidR="00106205" w:rsidRDefault="00106205"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Annual faculty parking price</w:t>
            </w:r>
            <w:r w:rsidR="006428B5">
              <w:rPr>
                <w:rStyle w:val="FootnoteReference"/>
                <w:rFonts w:ascii="Times New Roman" w:hAnsi="Times New Roman" w:cs="Times New Roman"/>
                <w:sz w:val="24"/>
                <w:szCs w:val="24"/>
              </w:rPr>
              <w:footnoteReference w:id="10"/>
            </w:r>
          </w:p>
        </w:tc>
        <w:tc>
          <w:tcPr>
            <w:tcW w:w="2610" w:type="dxa"/>
          </w:tcPr>
          <w:p w:rsidR="00106205" w:rsidRDefault="006428B5"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$0</w:t>
            </w:r>
          </w:p>
        </w:tc>
        <w:tc>
          <w:tcPr>
            <w:tcW w:w="2178" w:type="dxa"/>
          </w:tcPr>
          <w:p w:rsidR="00106205" w:rsidRDefault="006428B5"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$720</w:t>
            </w:r>
          </w:p>
        </w:tc>
      </w:tr>
      <w:tr w:rsidR="00894124" w:rsidTr="00894124">
        <w:trPr>
          <w:jc w:val="center"/>
        </w:trPr>
        <w:tc>
          <w:tcPr>
            <w:tcW w:w="4050" w:type="dxa"/>
          </w:tcPr>
          <w:p w:rsidR="00894124" w:rsidRDefault="00657C0D"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S&amp;P 500 index</w:t>
            </w:r>
            <w:r w:rsidR="006428B5">
              <w:rPr>
                <w:rStyle w:val="FootnoteReference"/>
                <w:rFonts w:ascii="Times New Roman" w:hAnsi="Times New Roman" w:cs="Times New Roman"/>
                <w:sz w:val="24"/>
                <w:szCs w:val="24"/>
              </w:rPr>
              <w:footnoteReference w:id="11"/>
            </w:r>
          </w:p>
        </w:tc>
        <w:tc>
          <w:tcPr>
            <w:tcW w:w="2610" w:type="dxa"/>
          </w:tcPr>
          <w:p w:rsidR="00894124" w:rsidRDefault="00894124" w:rsidP="00657C0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657C0D">
              <w:rPr>
                <w:rFonts w:ascii="Times New Roman" w:hAnsi="Times New Roman" w:cs="Times New Roman"/>
                <w:sz w:val="24"/>
                <w:szCs w:val="24"/>
              </w:rPr>
              <w:t>70</w:t>
            </w:r>
          </w:p>
        </w:tc>
        <w:tc>
          <w:tcPr>
            <w:tcW w:w="2178" w:type="dxa"/>
          </w:tcPr>
          <w:p w:rsidR="00894124" w:rsidRDefault="00657C0D" w:rsidP="00894124">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$1,317</w:t>
            </w:r>
          </w:p>
        </w:tc>
      </w:tr>
    </w:tbl>
    <w:p w:rsidR="00894124" w:rsidRDefault="00894124" w:rsidP="007A48C4">
      <w:pPr>
        <w:spacing w:before="0"/>
        <w:ind w:left="0" w:firstLine="0"/>
        <w:rPr>
          <w:rFonts w:ascii="Times New Roman" w:hAnsi="Times New Roman" w:cs="Times New Roman"/>
          <w:sz w:val="24"/>
          <w:szCs w:val="24"/>
        </w:rPr>
      </w:pPr>
    </w:p>
    <w:p w:rsidR="004E6B5E" w:rsidRDefault="004E6B5E" w:rsidP="007A48C4">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Table 1 shows only a few of the many possible parameterizations.  The parameterizations were selected to show how variations in certain parameters alter the projected outcomes. </w:t>
      </w:r>
      <w:r w:rsidR="00BC50DD">
        <w:rPr>
          <w:rFonts w:ascii="Times New Roman" w:hAnsi="Times New Roman" w:cs="Times New Roman"/>
          <w:sz w:val="24"/>
          <w:szCs w:val="24"/>
        </w:rPr>
        <w:t xml:space="preserve"> </w:t>
      </w:r>
    </w:p>
    <w:p w:rsidR="004E6B5E" w:rsidRDefault="004E6B5E" w:rsidP="007A48C4">
      <w:pPr>
        <w:spacing w:before="0"/>
        <w:ind w:left="0" w:firstLine="0"/>
        <w:rPr>
          <w:rFonts w:ascii="Times New Roman" w:hAnsi="Times New Roman" w:cs="Times New Roman"/>
          <w:sz w:val="24"/>
          <w:szCs w:val="24"/>
        </w:rPr>
      </w:pPr>
    </w:p>
    <w:p w:rsidR="00106205" w:rsidRDefault="00106205" w:rsidP="006D2E98">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Case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 Table 1 shows that, under the assumptions shown in the note at the bottom of the table, the ending value of the long-term investment portfolio would be $4,072 million with an external-lease alternative and $2,195 </w:t>
      </w:r>
      <w:r w:rsidR="00BA6256">
        <w:rPr>
          <w:rFonts w:ascii="Times New Roman" w:hAnsi="Times New Roman" w:cs="Times New Roman"/>
          <w:sz w:val="24"/>
          <w:szCs w:val="24"/>
        </w:rPr>
        <w:t xml:space="preserve">million </w:t>
      </w:r>
      <w:r>
        <w:rPr>
          <w:rFonts w:ascii="Times New Roman" w:hAnsi="Times New Roman" w:cs="Times New Roman"/>
          <w:sz w:val="24"/>
          <w:szCs w:val="24"/>
        </w:rPr>
        <w:t>with an internal-operation alternative.  Under either alternative, the model shows that $3,285 million would be distributed for non-parking activities over the 50-year period.  If the University’s objective were solely to maximize the expected financial benefit from parking, this example shows that, under the assumptions listed, the University would choose the external-lease alternative.</w:t>
      </w:r>
    </w:p>
    <w:p w:rsidR="00106205" w:rsidRDefault="00106205" w:rsidP="006D2E98">
      <w:pPr>
        <w:spacing w:before="0"/>
        <w:ind w:left="0" w:firstLine="0"/>
        <w:rPr>
          <w:rFonts w:ascii="Times New Roman" w:hAnsi="Times New Roman" w:cs="Times New Roman"/>
          <w:sz w:val="24"/>
          <w:szCs w:val="24"/>
        </w:rPr>
      </w:pPr>
    </w:p>
    <w:p w:rsidR="006D2E98" w:rsidRDefault="006D2E98" w:rsidP="006D2E98">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The examples in Table 1 </w:t>
      </w:r>
      <w:r w:rsidR="00106205">
        <w:rPr>
          <w:rFonts w:ascii="Times New Roman" w:hAnsi="Times New Roman" w:cs="Times New Roman"/>
          <w:sz w:val="24"/>
          <w:szCs w:val="24"/>
        </w:rPr>
        <w:t>illustrate</w:t>
      </w:r>
      <w:r>
        <w:rPr>
          <w:rFonts w:ascii="Times New Roman" w:hAnsi="Times New Roman" w:cs="Times New Roman"/>
          <w:sz w:val="24"/>
          <w:szCs w:val="24"/>
        </w:rPr>
        <w:t xml:space="preserve"> several general characteristics.  For example, if the external lease alternative is selected, the University’s financial condition improves as bid amounts increase (e.g. compare cases A and B or cases D and E).  Conversely, if the external lease alternative is selected, the University’s financial condition worsens as the return on the long-term investment pool decreases (e.g., compare cases A, B and C with corresponding cases D, E</w:t>
      </w:r>
      <w:r w:rsidR="003B4E6F">
        <w:rPr>
          <w:rFonts w:ascii="Times New Roman" w:hAnsi="Times New Roman" w:cs="Times New Roman"/>
          <w:sz w:val="24"/>
          <w:szCs w:val="24"/>
        </w:rPr>
        <w:t>, F</w:t>
      </w:r>
      <w:r>
        <w:rPr>
          <w:rFonts w:ascii="Times New Roman" w:hAnsi="Times New Roman" w:cs="Times New Roman"/>
          <w:sz w:val="24"/>
          <w:szCs w:val="24"/>
        </w:rPr>
        <w:t xml:space="preserve"> and </w:t>
      </w:r>
      <w:r w:rsidR="003B4E6F">
        <w:rPr>
          <w:rFonts w:ascii="Times New Roman" w:hAnsi="Times New Roman" w:cs="Times New Roman"/>
          <w:sz w:val="24"/>
          <w:szCs w:val="24"/>
        </w:rPr>
        <w:t>G</w:t>
      </w:r>
      <w:r>
        <w:rPr>
          <w:rFonts w:ascii="Times New Roman" w:hAnsi="Times New Roman" w:cs="Times New Roman"/>
          <w:sz w:val="24"/>
          <w:szCs w:val="24"/>
        </w:rPr>
        <w:t xml:space="preserve">).  </w:t>
      </w:r>
      <w:r w:rsidR="003B4E6F">
        <w:rPr>
          <w:rFonts w:ascii="Times New Roman" w:hAnsi="Times New Roman" w:cs="Times New Roman"/>
          <w:sz w:val="24"/>
          <w:szCs w:val="24"/>
        </w:rPr>
        <w:t xml:space="preserve">Cases E and F illustrate the obvious insight that a lower return on the long-term investment pool demands a larger initial bid if it is to generate similar amounts of distributable cash as would be available with internal operation. Perhaps less obviously, the lower rate of return also diminishes the total </w:t>
      </w:r>
      <w:r w:rsidR="000E7AFE">
        <w:rPr>
          <w:rFonts w:ascii="Times New Roman" w:hAnsi="Times New Roman" w:cs="Times New Roman"/>
          <w:sz w:val="24"/>
          <w:szCs w:val="24"/>
        </w:rPr>
        <w:t xml:space="preserve">cash amount that can be distributed over the 50-year period. Conversely, </w:t>
      </w:r>
      <w:r>
        <w:rPr>
          <w:rFonts w:ascii="Times New Roman" w:hAnsi="Times New Roman" w:cs="Times New Roman"/>
          <w:sz w:val="24"/>
          <w:szCs w:val="24"/>
        </w:rPr>
        <w:t>case B</w:t>
      </w:r>
      <w:r w:rsidR="000E7AFE">
        <w:rPr>
          <w:rFonts w:ascii="Times New Roman" w:hAnsi="Times New Roman" w:cs="Times New Roman"/>
          <w:sz w:val="24"/>
          <w:szCs w:val="24"/>
        </w:rPr>
        <w:t xml:space="preserve"> illustrates that, for fixed other parameters</w:t>
      </w:r>
      <w:r>
        <w:rPr>
          <w:rFonts w:ascii="Times New Roman" w:hAnsi="Times New Roman" w:cs="Times New Roman"/>
          <w:sz w:val="24"/>
          <w:szCs w:val="24"/>
        </w:rPr>
        <w:t xml:space="preserve">, </w:t>
      </w:r>
      <w:r w:rsidR="000E7AFE">
        <w:rPr>
          <w:rFonts w:ascii="Times New Roman" w:hAnsi="Times New Roman" w:cs="Times New Roman"/>
          <w:sz w:val="24"/>
          <w:szCs w:val="24"/>
        </w:rPr>
        <w:t xml:space="preserve">above a certain minimum bid amount </w:t>
      </w:r>
      <w:r>
        <w:rPr>
          <w:rFonts w:ascii="Times New Roman" w:hAnsi="Times New Roman" w:cs="Times New Roman"/>
          <w:sz w:val="24"/>
          <w:szCs w:val="24"/>
        </w:rPr>
        <w:t>the internal-operation alternative is unable to generate sufficient</w:t>
      </w:r>
      <w:r w:rsidR="000E7AFE">
        <w:rPr>
          <w:rFonts w:ascii="Times New Roman" w:hAnsi="Times New Roman" w:cs="Times New Roman"/>
          <w:sz w:val="24"/>
          <w:szCs w:val="24"/>
        </w:rPr>
        <w:t xml:space="preserve"> annual revenue</w:t>
      </w:r>
      <w:r>
        <w:rPr>
          <w:rFonts w:ascii="Times New Roman" w:hAnsi="Times New Roman" w:cs="Times New Roman"/>
          <w:sz w:val="24"/>
          <w:szCs w:val="24"/>
        </w:rPr>
        <w:t xml:space="preserve"> </w:t>
      </w:r>
      <w:r w:rsidR="000E7AFE">
        <w:rPr>
          <w:rFonts w:ascii="Times New Roman" w:hAnsi="Times New Roman" w:cs="Times New Roman"/>
          <w:sz w:val="24"/>
          <w:szCs w:val="24"/>
        </w:rPr>
        <w:t xml:space="preserve">to maintain the </w:t>
      </w:r>
      <w:r w:rsidR="000E7AFE">
        <w:rPr>
          <w:rFonts w:ascii="Times New Roman" w:hAnsi="Times New Roman" w:cs="Times New Roman"/>
          <w:sz w:val="24"/>
          <w:szCs w:val="24"/>
        </w:rPr>
        <w:lastRenderedPageBreak/>
        <w:t>same cash flow as in the external-lease scenario and still</w:t>
      </w:r>
      <w:r>
        <w:rPr>
          <w:rFonts w:ascii="Times New Roman" w:hAnsi="Times New Roman" w:cs="Times New Roman"/>
          <w:sz w:val="24"/>
          <w:szCs w:val="24"/>
        </w:rPr>
        <w:t xml:space="preserve"> establish a positive balance in the LTIP at the end of 50 years.  The reason is that the annual cash distributions under the external-lease alternative are greater for case B than case A because the initial investment for the external-lease alternative is greater for case B </w:t>
      </w:r>
      <w:r w:rsidR="00236771">
        <w:rPr>
          <w:rFonts w:ascii="Times New Roman" w:hAnsi="Times New Roman" w:cs="Times New Roman"/>
          <w:sz w:val="24"/>
          <w:szCs w:val="24"/>
        </w:rPr>
        <w:t xml:space="preserve">than for </w:t>
      </w:r>
      <w:r>
        <w:rPr>
          <w:rFonts w:ascii="Times New Roman" w:hAnsi="Times New Roman" w:cs="Times New Roman"/>
          <w:sz w:val="24"/>
          <w:szCs w:val="24"/>
        </w:rPr>
        <w:t xml:space="preserve">case A.  </w:t>
      </w:r>
    </w:p>
    <w:p w:rsidR="006D2E98" w:rsidRDefault="006D2E98" w:rsidP="006D2E98">
      <w:pPr>
        <w:spacing w:before="0"/>
        <w:ind w:left="0" w:firstLine="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3870"/>
        <w:gridCol w:w="1620"/>
        <w:gridCol w:w="1800"/>
        <w:gridCol w:w="1548"/>
      </w:tblGrid>
      <w:tr w:rsidR="0073312B" w:rsidTr="00A031C2">
        <w:trPr>
          <w:cantSplit/>
        </w:trPr>
        <w:tc>
          <w:tcPr>
            <w:tcW w:w="9576" w:type="dxa"/>
            <w:gridSpan w:val="5"/>
          </w:tcPr>
          <w:p w:rsidR="0073312B" w:rsidRDefault="0073312B" w:rsidP="0073312B">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Table 1</w:t>
            </w:r>
          </w:p>
          <w:p w:rsidR="0073312B" w:rsidRDefault="0073312B" w:rsidP="0073312B">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Comparison of External-Lease and Internal-Operation Alternatives</w:t>
            </w:r>
          </w:p>
          <w:p w:rsidR="0073312B" w:rsidRDefault="0073312B" w:rsidP="007A48C4">
            <w:pPr>
              <w:spacing w:before="0"/>
              <w:ind w:left="0" w:firstLine="0"/>
              <w:rPr>
                <w:rFonts w:ascii="Times New Roman" w:hAnsi="Times New Roman" w:cs="Times New Roman"/>
                <w:sz w:val="24"/>
                <w:szCs w:val="24"/>
              </w:rPr>
            </w:pPr>
          </w:p>
        </w:tc>
      </w:tr>
      <w:tr w:rsidR="00A97107" w:rsidTr="00A031C2">
        <w:trPr>
          <w:cantSplit/>
        </w:trPr>
        <w:tc>
          <w:tcPr>
            <w:tcW w:w="738" w:type="dxa"/>
            <w:tcBorders>
              <w:top w:val="single" w:sz="4" w:space="0" w:color="auto"/>
              <w:left w:val="single" w:sz="4" w:space="0" w:color="auto"/>
            </w:tcBorders>
          </w:tcPr>
          <w:p w:rsidR="00A97107" w:rsidRDefault="00A97107" w:rsidP="007A48C4">
            <w:pPr>
              <w:spacing w:before="0"/>
              <w:ind w:left="0" w:firstLine="0"/>
              <w:rPr>
                <w:rFonts w:ascii="Times New Roman" w:hAnsi="Times New Roman" w:cs="Times New Roman"/>
                <w:sz w:val="24"/>
                <w:szCs w:val="24"/>
              </w:rPr>
            </w:pPr>
          </w:p>
        </w:tc>
        <w:tc>
          <w:tcPr>
            <w:tcW w:w="3870" w:type="dxa"/>
            <w:tcBorders>
              <w:top w:val="single" w:sz="4" w:space="0" w:color="auto"/>
              <w:left w:val="single" w:sz="4" w:space="0" w:color="auto"/>
            </w:tcBorders>
          </w:tcPr>
          <w:p w:rsidR="00A97107" w:rsidRDefault="00A97107" w:rsidP="007A48C4">
            <w:pPr>
              <w:spacing w:before="0"/>
              <w:ind w:left="0" w:firstLine="0"/>
              <w:rPr>
                <w:rFonts w:ascii="Times New Roman" w:hAnsi="Times New Roman" w:cs="Times New Roman"/>
                <w:sz w:val="24"/>
                <w:szCs w:val="24"/>
              </w:rPr>
            </w:pPr>
          </w:p>
        </w:tc>
        <w:tc>
          <w:tcPr>
            <w:tcW w:w="3420" w:type="dxa"/>
            <w:gridSpan w:val="2"/>
            <w:tcBorders>
              <w:top w:val="single" w:sz="4" w:space="0" w:color="auto"/>
            </w:tcBorders>
          </w:tcPr>
          <w:p w:rsidR="00A97107" w:rsidRDefault="00A97107" w:rsidP="00832055">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Ending LTIP</w:t>
            </w:r>
          </w:p>
        </w:tc>
        <w:tc>
          <w:tcPr>
            <w:tcW w:w="1548" w:type="dxa"/>
            <w:tcBorders>
              <w:top w:val="single" w:sz="4" w:space="0" w:color="auto"/>
              <w:right w:val="single" w:sz="4" w:space="0" w:color="auto"/>
            </w:tcBorders>
          </w:tcPr>
          <w:p w:rsidR="00A97107" w:rsidRDefault="00A97107" w:rsidP="007A48C4">
            <w:pPr>
              <w:spacing w:before="0"/>
              <w:ind w:left="0" w:firstLine="0"/>
              <w:rPr>
                <w:rFonts w:ascii="Times New Roman" w:hAnsi="Times New Roman" w:cs="Times New Roman"/>
                <w:sz w:val="24"/>
                <w:szCs w:val="24"/>
              </w:rPr>
            </w:pPr>
          </w:p>
        </w:tc>
      </w:tr>
      <w:tr w:rsidR="00A97107" w:rsidTr="00A031C2">
        <w:trPr>
          <w:cantSplit/>
        </w:trPr>
        <w:tc>
          <w:tcPr>
            <w:tcW w:w="738" w:type="dxa"/>
            <w:tcBorders>
              <w:left w:val="single" w:sz="4" w:space="0" w:color="auto"/>
              <w:bottom w:val="single" w:sz="4" w:space="0" w:color="auto"/>
            </w:tcBorders>
            <w:vAlign w:val="bottom"/>
          </w:tcPr>
          <w:p w:rsidR="00A97107" w:rsidRPr="004E6B5E" w:rsidRDefault="00A97107" w:rsidP="00A97107">
            <w:pPr>
              <w:spacing w:before="0"/>
              <w:ind w:left="0" w:firstLine="0"/>
              <w:jc w:val="center"/>
              <w:rPr>
                <w:rFonts w:ascii="Times New Roman" w:hAnsi="Times New Roman" w:cs="Times New Roman"/>
                <w:sz w:val="24"/>
                <w:szCs w:val="24"/>
                <w:u w:val="single"/>
              </w:rPr>
            </w:pPr>
            <w:r>
              <w:rPr>
                <w:rFonts w:ascii="Times New Roman" w:hAnsi="Times New Roman" w:cs="Times New Roman"/>
                <w:sz w:val="24"/>
                <w:szCs w:val="24"/>
                <w:u w:val="single"/>
              </w:rPr>
              <w:t>Case</w:t>
            </w:r>
          </w:p>
        </w:tc>
        <w:tc>
          <w:tcPr>
            <w:tcW w:w="3870" w:type="dxa"/>
            <w:tcBorders>
              <w:left w:val="single" w:sz="4" w:space="0" w:color="auto"/>
              <w:bottom w:val="single" w:sz="4" w:space="0" w:color="auto"/>
            </w:tcBorders>
            <w:vAlign w:val="bottom"/>
          </w:tcPr>
          <w:p w:rsidR="00A97107" w:rsidRPr="004E6B5E" w:rsidRDefault="0073312B" w:rsidP="0073312B">
            <w:pPr>
              <w:spacing w:before="0"/>
              <w:ind w:left="0" w:firstLine="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Change from Base </w:t>
            </w:r>
            <w:r w:rsidR="00A97107" w:rsidRPr="004E6B5E">
              <w:rPr>
                <w:rFonts w:ascii="Times New Roman" w:hAnsi="Times New Roman" w:cs="Times New Roman"/>
                <w:sz w:val="24"/>
                <w:szCs w:val="24"/>
                <w:u w:val="single"/>
              </w:rPr>
              <w:t>Assumption</w:t>
            </w:r>
            <w:r>
              <w:rPr>
                <w:rFonts w:ascii="Times New Roman" w:hAnsi="Times New Roman" w:cs="Times New Roman"/>
                <w:sz w:val="24"/>
                <w:szCs w:val="24"/>
                <w:u w:val="single"/>
              </w:rPr>
              <w:t>s</w:t>
            </w:r>
          </w:p>
        </w:tc>
        <w:tc>
          <w:tcPr>
            <w:tcW w:w="1620" w:type="dxa"/>
            <w:tcBorders>
              <w:bottom w:val="single" w:sz="4" w:space="0" w:color="auto"/>
            </w:tcBorders>
            <w:vAlign w:val="bottom"/>
          </w:tcPr>
          <w:p w:rsidR="00A97107" w:rsidRDefault="00A97107" w:rsidP="004E6B5E">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External-lease</w:t>
            </w:r>
          </w:p>
          <w:p w:rsidR="00A97107" w:rsidRPr="004E6B5E" w:rsidRDefault="00A97107" w:rsidP="004E6B5E">
            <w:pPr>
              <w:spacing w:before="0"/>
              <w:ind w:left="0" w:firstLine="0"/>
              <w:jc w:val="right"/>
              <w:rPr>
                <w:rFonts w:ascii="Times New Roman" w:hAnsi="Times New Roman" w:cs="Times New Roman"/>
                <w:sz w:val="24"/>
                <w:szCs w:val="24"/>
                <w:u w:val="single"/>
              </w:rPr>
            </w:pPr>
            <w:r w:rsidRPr="004E6B5E">
              <w:rPr>
                <w:rFonts w:ascii="Times New Roman" w:hAnsi="Times New Roman" w:cs="Times New Roman"/>
                <w:sz w:val="24"/>
                <w:szCs w:val="24"/>
                <w:u w:val="single"/>
              </w:rPr>
              <w:t>(in $millions)</w:t>
            </w:r>
          </w:p>
        </w:tc>
        <w:tc>
          <w:tcPr>
            <w:tcW w:w="1800" w:type="dxa"/>
            <w:tcBorders>
              <w:bottom w:val="single" w:sz="4" w:space="0" w:color="auto"/>
            </w:tcBorders>
            <w:vAlign w:val="bottom"/>
          </w:tcPr>
          <w:p w:rsidR="00791CD4" w:rsidRDefault="00A97107" w:rsidP="004E6B5E">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 xml:space="preserve">Internal-operation </w:t>
            </w:r>
          </w:p>
          <w:p w:rsidR="00A97107" w:rsidRDefault="00A97107" w:rsidP="004E6B5E">
            <w:pPr>
              <w:spacing w:before="0"/>
              <w:ind w:left="0" w:firstLine="0"/>
              <w:jc w:val="right"/>
              <w:rPr>
                <w:rFonts w:ascii="Times New Roman" w:hAnsi="Times New Roman" w:cs="Times New Roman"/>
                <w:sz w:val="24"/>
                <w:szCs w:val="24"/>
              </w:rPr>
            </w:pPr>
            <w:r w:rsidRPr="004E6B5E">
              <w:rPr>
                <w:rFonts w:ascii="Times New Roman" w:hAnsi="Times New Roman" w:cs="Times New Roman"/>
                <w:sz w:val="24"/>
                <w:szCs w:val="24"/>
                <w:u w:val="single"/>
              </w:rPr>
              <w:t>(in $millions)</w:t>
            </w:r>
          </w:p>
        </w:tc>
        <w:tc>
          <w:tcPr>
            <w:tcW w:w="1548" w:type="dxa"/>
            <w:tcBorders>
              <w:bottom w:val="single" w:sz="4" w:space="0" w:color="auto"/>
              <w:right w:val="single" w:sz="4" w:space="0" w:color="auto"/>
            </w:tcBorders>
            <w:vAlign w:val="bottom"/>
          </w:tcPr>
          <w:p w:rsidR="00A97107" w:rsidRDefault="00A97107" w:rsidP="004E6B5E">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Total cash distributed</w:t>
            </w:r>
          </w:p>
          <w:p w:rsidR="00A97107" w:rsidRPr="004E6B5E" w:rsidRDefault="00A97107" w:rsidP="004E6B5E">
            <w:pPr>
              <w:spacing w:before="0"/>
              <w:ind w:left="0" w:firstLine="0"/>
              <w:jc w:val="right"/>
              <w:rPr>
                <w:rFonts w:ascii="Times New Roman" w:hAnsi="Times New Roman" w:cs="Times New Roman"/>
                <w:sz w:val="24"/>
                <w:szCs w:val="24"/>
                <w:u w:val="single"/>
              </w:rPr>
            </w:pPr>
            <w:r w:rsidRPr="004E6B5E">
              <w:rPr>
                <w:rFonts w:ascii="Times New Roman" w:hAnsi="Times New Roman" w:cs="Times New Roman"/>
                <w:sz w:val="24"/>
                <w:szCs w:val="24"/>
                <w:u w:val="single"/>
              </w:rPr>
              <w:t>(in $millions)</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A97107"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A</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Pr="00E17552" w:rsidRDefault="0073312B" w:rsidP="0073312B">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No changes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$4,072</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$2,195</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$3,285</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A97107"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B</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Pr="0073312B" w:rsidRDefault="00A97107" w:rsidP="0073312B">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B = $450 million</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$4,581</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($730)</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$3,696</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A74FD8"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C</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Default="00A97107" w:rsidP="0073312B">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 xml:space="preserve">University operating expenses </w:t>
            </w:r>
            <w:r w:rsidR="0073312B">
              <w:rPr>
                <w:rFonts w:ascii="Times New Roman" w:hAnsi="Times New Roman" w:cs="Times New Roman"/>
                <w:sz w:val="24"/>
                <w:szCs w:val="24"/>
              </w:rPr>
              <w:t>=</w:t>
            </w:r>
            <w:r>
              <w:rPr>
                <w:rFonts w:ascii="Times New Roman" w:hAnsi="Times New Roman" w:cs="Times New Roman"/>
                <w:sz w:val="24"/>
                <w:szCs w:val="24"/>
              </w:rPr>
              <w:t xml:space="preserve"> 105% of operator </w:t>
            </w:r>
            <w:r w:rsidR="0073312B">
              <w:rPr>
                <w:rFonts w:ascii="Times New Roman" w:hAnsi="Times New Roman" w:cs="Times New Roman"/>
                <w:sz w:val="24"/>
                <w:szCs w:val="24"/>
              </w:rPr>
              <w:t xml:space="preserve">operating </w:t>
            </w:r>
            <w:r>
              <w:rPr>
                <w:rFonts w:ascii="Times New Roman" w:hAnsi="Times New Roman" w:cs="Times New Roman"/>
                <w:sz w:val="24"/>
                <w:szCs w:val="24"/>
              </w:rPr>
              <w:t>expenses for all years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$4,072</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$1,695</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$3,285</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A74FD8"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D</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Pr="0073312B" w:rsidRDefault="00A97107" w:rsidP="0073312B">
            <w:pPr>
              <w:pStyle w:val="ListParagraph"/>
              <w:numPr>
                <w:ilvl w:val="0"/>
                <w:numId w:val="4"/>
              </w:numPr>
              <w:spacing w:before="0"/>
              <w:ind w:left="360"/>
              <w:rPr>
                <w:rFonts w:ascii="Times New Roman" w:hAnsi="Times New Roman" w:cs="Times New Roman"/>
                <w:sz w:val="24"/>
                <w:szCs w:val="24"/>
              </w:rPr>
            </w:pPr>
            <w:proofErr w:type="spellStart"/>
            <w:r w:rsidRPr="00832055">
              <w:rPr>
                <w:rFonts w:ascii="Times New Roman" w:hAnsi="Times New Roman" w:cs="Times New Roman"/>
                <w:i/>
                <w:sz w:val="24"/>
                <w:szCs w:val="24"/>
              </w:rPr>
              <w:t>r</w:t>
            </w:r>
            <w:r w:rsidRPr="00832055">
              <w:rPr>
                <w:rFonts w:ascii="Times New Roman" w:hAnsi="Times New Roman" w:cs="Times New Roman"/>
                <w:i/>
                <w:sz w:val="24"/>
                <w:szCs w:val="24"/>
                <w:vertAlign w:val="subscript"/>
              </w:rPr>
              <w:t>t</w:t>
            </w:r>
            <w:proofErr w:type="spellEnd"/>
            <w:r>
              <w:rPr>
                <w:rFonts w:ascii="Times New Roman" w:hAnsi="Times New Roman" w:cs="Times New Roman"/>
                <w:sz w:val="24"/>
                <w:szCs w:val="24"/>
              </w:rPr>
              <w:t xml:space="preserve"> = 8% for all years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$2,520</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$4,373</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$2,403</w:t>
            </w:r>
          </w:p>
        </w:tc>
      </w:tr>
      <w:tr w:rsidR="000B5849" w:rsidTr="000B5849">
        <w:trPr>
          <w:cantSplit/>
        </w:trPr>
        <w:tc>
          <w:tcPr>
            <w:tcW w:w="738" w:type="dxa"/>
            <w:tcBorders>
              <w:top w:val="single" w:sz="4" w:space="0" w:color="auto"/>
              <w:left w:val="single" w:sz="4" w:space="0" w:color="auto"/>
              <w:bottom w:val="single" w:sz="4" w:space="0" w:color="auto"/>
            </w:tcBorders>
          </w:tcPr>
          <w:p w:rsidR="000B5849" w:rsidRPr="00A97107" w:rsidRDefault="000B5849" w:rsidP="000B5849">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E</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0B5849" w:rsidRDefault="000B5849" w:rsidP="000B5849">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B = $450 million</w:t>
            </w:r>
          </w:p>
          <w:p w:rsidR="000B5849" w:rsidRPr="0073312B" w:rsidRDefault="000B5849" w:rsidP="000B5849">
            <w:pPr>
              <w:pStyle w:val="ListParagraph"/>
              <w:numPr>
                <w:ilvl w:val="0"/>
                <w:numId w:val="4"/>
              </w:numPr>
              <w:spacing w:before="0"/>
              <w:ind w:left="360"/>
              <w:rPr>
                <w:rFonts w:ascii="Times New Roman" w:hAnsi="Times New Roman" w:cs="Times New Roman"/>
                <w:sz w:val="24"/>
                <w:szCs w:val="24"/>
              </w:rPr>
            </w:pPr>
            <w:proofErr w:type="spellStart"/>
            <w:r w:rsidRPr="00832055">
              <w:rPr>
                <w:rFonts w:ascii="Times New Roman" w:hAnsi="Times New Roman" w:cs="Times New Roman"/>
                <w:i/>
                <w:sz w:val="24"/>
                <w:szCs w:val="24"/>
              </w:rPr>
              <w:t>r</w:t>
            </w:r>
            <w:r w:rsidRPr="00832055">
              <w:rPr>
                <w:rFonts w:ascii="Times New Roman" w:hAnsi="Times New Roman" w:cs="Times New Roman"/>
                <w:i/>
                <w:sz w:val="24"/>
                <w:szCs w:val="24"/>
                <w:vertAlign w:val="subscript"/>
              </w:rPr>
              <w:t>t</w:t>
            </w:r>
            <w:proofErr w:type="spellEnd"/>
            <w:r>
              <w:rPr>
                <w:rFonts w:ascii="Times New Roman" w:hAnsi="Times New Roman" w:cs="Times New Roman"/>
                <w:sz w:val="24"/>
                <w:szCs w:val="24"/>
              </w:rPr>
              <w:t xml:space="preserve"> = 8% for all years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0B5849" w:rsidRDefault="000B5849" w:rsidP="000B5849">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$2,835</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0B5849" w:rsidRDefault="000B5849" w:rsidP="000B5849">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$2,506</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0B5849" w:rsidRDefault="000B5849" w:rsidP="000B5849">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$2,703</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0B5849"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F</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Default="00A97107" w:rsidP="00AF7AB1">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B = $</w:t>
            </w:r>
            <w:r w:rsidR="000B5849">
              <w:rPr>
                <w:rFonts w:ascii="Times New Roman" w:hAnsi="Times New Roman" w:cs="Times New Roman"/>
                <w:sz w:val="24"/>
                <w:szCs w:val="24"/>
              </w:rPr>
              <w:t>6</w:t>
            </w:r>
            <w:r>
              <w:rPr>
                <w:rFonts w:ascii="Times New Roman" w:hAnsi="Times New Roman" w:cs="Times New Roman"/>
                <w:sz w:val="24"/>
                <w:szCs w:val="24"/>
              </w:rPr>
              <w:t>50 million</w:t>
            </w:r>
          </w:p>
          <w:p w:rsidR="00A97107" w:rsidRPr="0073312B" w:rsidRDefault="00A97107" w:rsidP="0073312B">
            <w:pPr>
              <w:pStyle w:val="ListParagraph"/>
              <w:numPr>
                <w:ilvl w:val="0"/>
                <w:numId w:val="4"/>
              </w:numPr>
              <w:spacing w:before="0"/>
              <w:ind w:left="360"/>
              <w:rPr>
                <w:rFonts w:ascii="Times New Roman" w:hAnsi="Times New Roman" w:cs="Times New Roman"/>
                <w:sz w:val="24"/>
                <w:szCs w:val="24"/>
              </w:rPr>
            </w:pPr>
            <w:proofErr w:type="spellStart"/>
            <w:r w:rsidRPr="00832055">
              <w:rPr>
                <w:rFonts w:ascii="Times New Roman" w:hAnsi="Times New Roman" w:cs="Times New Roman"/>
                <w:i/>
                <w:sz w:val="24"/>
                <w:szCs w:val="24"/>
              </w:rPr>
              <w:t>r</w:t>
            </w:r>
            <w:r w:rsidRPr="00832055">
              <w:rPr>
                <w:rFonts w:ascii="Times New Roman" w:hAnsi="Times New Roman" w:cs="Times New Roman"/>
                <w:i/>
                <w:sz w:val="24"/>
                <w:szCs w:val="24"/>
                <w:vertAlign w:val="subscript"/>
              </w:rPr>
              <w:t>t</w:t>
            </w:r>
            <w:proofErr w:type="spellEnd"/>
            <w:r>
              <w:rPr>
                <w:rFonts w:ascii="Times New Roman" w:hAnsi="Times New Roman" w:cs="Times New Roman"/>
                <w:sz w:val="24"/>
                <w:szCs w:val="24"/>
              </w:rPr>
              <w:t xml:space="preserve"> = </w:t>
            </w:r>
            <w:r w:rsidR="000B5849">
              <w:rPr>
                <w:rFonts w:ascii="Times New Roman" w:hAnsi="Times New Roman" w:cs="Times New Roman"/>
                <w:sz w:val="24"/>
                <w:szCs w:val="24"/>
              </w:rPr>
              <w:t>6</w:t>
            </w:r>
            <w:r>
              <w:rPr>
                <w:rFonts w:ascii="Times New Roman" w:hAnsi="Times New Roman" w:cs="Times New Roman"/>
                <w:sz w:val="24"/>
                <w:szCs w:val="24"/>
              </w:rPr>
              <w:t>% for all years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0B5849">
              <w:rPr>
                <w:rFonts w:ascii="Times New Roman" w:hAnsi="Times New Roman" w:cs="Times New Roman"/>
                <w:sz w:val="24"/>
                <w:szCs w:val="24"/>
              </w:rPr>
              <w:t>1,548</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E17552">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0B5849">
              <w:rPr>
                <w:rFonts w:ascii="Times New Roman" w:hAnsi="Times New Roman" w:cs="Times New Roman"/>
                <w:sz w:val="24"/>
                <w:szCs w:val="24"/>
              </w:rPr>
              <w:t>1,647</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w:t>
            </w:r>
            <w:r w:rsidR="000B5849">
              <w:rPr>
                <w:rFonts w:ascii="Times New Roman" w:hAnsi="Times New Roman" w:cs="Times New Roman"/>
                <w:sz w:val="24"/>
                <w:szCs w:val="24"/>
              </w:rPr>
              <w:t>180</w:t>
            </w:r>
          </w:p>
        </w:tc>
      </w:tr>
      <w:tr w:rsidR="00A97107" w:rsidTr="00A031C2">
        <w:trPr>
          <w:cantSplit/>
        </w:trPr>
        <w:tc>
          <w:tcPr>
            <w:tcW w:w="738" w:type="dxa"/>
            <w:tcBorders>
              <w:top w:val="single" w:sz="4" w:space="0" w:color="auto"/>
              <w:left w:val="single" w:sz="4" w:space="0" w:color="auto"/>
              <w:bottom w:val="single" w:sz="4" w:space="0" w:color="auto"/>
            </w:tcBorders>
          </w:tcPr>
          <w:p w:rsidR="00A97107" w:rsidRPr="00A97107" w:rsidRDefault="000B5849" w:rsidP="00A97107">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G</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A97107" w:rsidRDefault="00A97107" w:rsidP="00A97107">
            <w:pPr>
              <w:pStyle w:val="ListParagraph"/>
              <w:numPr>
                <w:ilvl w:val="0"/>
                <w:numId w:val="4"/>
              </w:numPr>
              <w:spacing w:before="0"/>
              <w:ind w:left="360"/>
              <w:rPr>
                <w:rFonts w:ascii="Times New Roman" w:hAnsi="Times New Roman" w:cs="Times New Roman"/>
                <w:sz w:val="24"/>
                <w:szCs w:val="24"/>
              </w:rPr>
            </w:pPr>
            <w:proofErr w:type="spellStart"/>
            <w:r w:rsidRPr="00832055">
              <w:rPr>
                <w:rFonts w:ascii="Times New Roman" w:hAnsi="Times New Roman" w:cs="Times New Roman"/>
                <w:i/>
                <w:sz w:val="24"/>
                <w:szCs w:val="24"/>
              </w:rPr>
              <w:t>r</w:t>
            </w:r>
            <w:r w:rsidRPr="00832055">
              <w:rPr>
                <w:rFonts w:ascii="Times New Roman" w:hAnsi="Times New Roman" w:cs="Times New Roman"/>
                <w:i/>
                <w:sz w:val="24"/>
                <w:szCs w:val="24"/>
                <w:vertAlign w:val="subscript"/>
              </w:rPr>
              <w:t>t</w:t>
            </w:r>
            <w:proofErr w:type="spellEnd"/>
            <w:r>
              <w:rPr>
                <w:rFonts w:ascii="Times New Roman" w:hAnsi="Times New Roman" w:cs="Times New Roman"/>
                <w:sz w:val="24"/>
                <w:szCs w:val="24"/>
              </w:rPr>
              <w:t xml:space="preserve"> = 8% for all years</w:t>
            </w:r>
          </w:p>
          <w:p w:rsidR="00A97107" w:rsidRDefault="00A97107" w:rsidP="0073312B">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 xml:space="preserve">University operating expenses </w:t>
            </w:r>
            <w:r w:rsidR="0073312B">
              <w:rPr>
                <w:rFonts w:ascii="Times New Roman" w:hAnsi="Times New Roman" w:cs="Times New Roman"/>
                <w:sz w:val="24"/>
                <w:szCs w:val="24"/>
              </w:rPr>
              <w:t>=</w:t>
            </w:r>
            <w:r>
              <w:rPr>
                <w:rFonts w:ascii="Times New Roman" w:hAnsi="Times New Roman" w:cs="Times New Roman"/>
                <w:sz w:val="24"/>
                <w:szCs w:val="24"/>
              </w:rPr>
              <w:t xml:space="preserve"> 105% of operator </w:t>
            </w:r>
            <w:r w:rsidR="0073312B">
              <w:rPr>
                <w:rFonts w:ascii="Times New Roman" w:hAnsi="Times New Roman" w:cs="Times New Roman"/>
                <w:sz w:val="24"/>
                <w:szCs w:val="24"/>
              </w:rPr>
              <w:t xml:space="preserve">operating </w:t>
            </w:r>
            <w:r>
              <w:rPr>
                <w:rFonts w:ascii="Times New Roman" w:hAnsi="Times New Roman" w:cs="Times New Roman"/>
                <w:sz w:val="24"/>
                <w:szCs w:val="24"/>
              </w:rPr>
              <w:t>expenses for all years</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$2,520</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$4,004</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A97107" w:rsidRDefault="00A97107" w:rsidP="00BC50DD">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$2,403</w:t>
            </w:r>
          </w:p>
        </w:tc>
      </w:tr>
      <w:tr w:rsidR="00236771" w:rsidTr="00043FAD">
        <w:trPr>
          <w:cantSplit/>
        </w:trPr>
        <w:tc>
          <w:tcPr>
            <w:tcW w:w="738" w:type="dxa"/>
            <w:tcBorders>
              <w:top w:val="single" w:sz="4" w:space="0" w:color="auto"/>
              <w:left w:val="single" w:sz="4" w:space="0" w:color="auto"/>
              <w:bottom w:val="single" w:sz="4" w:space="0" w:color="auto"/>
            </w:tcBorders>
          </w:tcPr>
          <w:p w:rsidR="00236771" w:rsidRDefault="00236771" w:rsidP="00A97107">
            <w:pPr>
              <w:spacing w:before="0"/>
              <w:ind w:left="0" w:firstLine="0"/>
              <w:jc w:val="center"/>
              <w:rPr>
                <w:rFonts w:ascii="Times New Roman" w:hAnsi="Times New Roman" w:cs="Times New Roman"/>
                <w:sz w:val="24"/>
                <w:szCs w:val="24"/>
              </w:rPr>
            </w:pPr>
          </w:p>
        </w:tc>
        <w:tc>
          <w:tcPr>
            <w:tcW w:w="8838" w:type="dxa"/>
            <w:gridSpan w:val="4"/>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236771" w:rsidRPr="00AF7AB1" w:rsidRDefault="00236771" w:rsidP="00236771">
            <w:pPr>
              <w:pStyle w:val="FootnoteText"/>
              <w:ind w:left="360"/>
              <w:rPr>
                <w:rFonts w:ascii="Times New Roman" w:hAnsi="Times New Roman" w:cs="Times New Roman"/>
              </w:rPr>
            </w:pPr>
            <w:r>
              <w:rPr>
                <w:rFonts w:ascii="Times New Roman" w:hAnsi="Times New Roman" w:cs="Times New Roman"/>
              </w:rPr>
              <w:t>NOTE: Unless otherwise noted, t</w:t>
            </w:r>
            <w:r w:rsidRPr="00AF7AB1">
              <w:rPr>
                <w:rFonts w:ascii="Times New Roman" w:hAnsi="Times New Roman" w:cs="Times New Roman"/>
              </w:rPr>
              <w:t xml:space="preserve">he results are based on the following </w:t>
            </w:r>
            <w:r>
              <w:rPr>
                <w:rFonts w:ascii="Times New Roman" w:hAnsi="Times New Roman" w:cs="Times New Roman"/>
              </w:rPr>
              <w:t xml:space="preserve">base </w:t>
            </w:r>
            <w:r w:rsidRPr="00AF7AB1">
              <w:rPr>
                <w:rFonts w:ascii="Times New Roman" w:hAnsi="Times New Roman" w:cs="Times New Roman"/>
              </w:rPr>
              <w:t xml:space="preserve">assumptions: </w:t>
            </w:r>
          </w:p>
          <w:p w:rsidR="00236771" w:rsidRDefault="00236771" w:rsidP="00BA6256">
            <w:pPr>
              <w:pStyle w:val="FootnoteText"/>
              <w:numPr>
                <w:ilvl w:val="0"/>
                <w:numId w:val="5"/>
              </w:numPr>
              <w:ind w:left="695"/>
              <w:rPr>
                <w:rFonts w:ascii="Times New Roman" w:hAnsi="Times New Roman" w:cs="Times New Roman"/>
              </w:rPr>
            </w:pPr>
            <w:r>
              <w:rPr>
                <w:rFonts w:ascii="Times New Roman" w:hAnsi="Times New Roman" w:cs="Times New Roman"/>
              </w:rPr>
              <w:t>One-time payment from external operator (B) = $400 million</w:t>
            </w:r>
          </w:p>
          <w:p w:rsidR="00236771" w:rsidRDefault="00236771" w:rsidP="00BA6256">
            <w:pPr>
              <w:pStyle w:val="FootnoteText"/>
              <w:numPr>
                <w:ilvl w:val="0"/>
                <w:numId w:val="5"/>
              </w:numPr>
              <w:ind w:left="695"/>
              <w:rPr>
                <w:rFonts w:ascii="Times New Roman" w:hAnsi="Times New Roman" w:cs="Times New Roman"/>
              </w:rPr>
            </w:pPr>
            <w:proofErr w:type="spellStart"/>
            <w:r w:rsidRPr="005E53F6">
              <w:rPr>
                <w:rFonts w:ascii="Times New Roman" w:hAnsi="Times New Roman" w:cs="Times New Roman"/>
                <w:i/>
              </w:rPr>
              <w:t>r</w:t>
            </w:r>
            <w:r w:rsidRPr="005E53F6">
              <w:rPr>
                <w:rFonts w:ascii="Times New Roman" w:hAnsi="Times New Roman" w:cs="Times New Roman"/>
                <w:i/>
                <w:vertAlign w:val="subscript"/>
              </w:rPr>
              <w:t>t</w:t>
            </w:r>
            <w:proofErr w:type="spellEnd"/>
            <w:r w:rsidRPr="005E53F6">
              <w:rPr>
                <w:rFonts w:ascii="Times New Roman" w:hAnsi="Times New Roman" w:cs="Times New Roman"/>
              </w:rPr>
              <w:t xml:space="preserve"> = 9% for all years</w:t>
            </w:r>
          </w:p>
          <w:p w:rsidR="00236771" w:rsidRPr="005E53F6" w:rsidRDefault="00236771" w:rsidP="00BA6256">
            <w:pPr>
              <w:pStyle w:val="FootnoteText"/>
              <w:numPr>
                <w:ilvl w:val="0"/>
                <w:numId w:val="5"/>
              </w:numPr>
              <w:ind w:left="695"/>
              <w:rPr>
                <w:rFonts w:ascii="Times New Roman" w:hAnsi="Times New Roman" w:cs="Times New Roman"/>
              </w:rPr>
            </w:pPr>
            <w:proofErr w:type="spellStart"/>
            <w:r>
              <w:rPr>
                <w:rFonts w:ascii="Times New Roman" w:hAnsi="Times New Roman" w:cs="Times New Roman"/>
                <w:i/>
              </w:rPr>
              <w:t>d</w:t>
            </w:r>
            <w:r w:rsidRPr="005E53F6">
              <w:rPr>
                <w:rFonts w:ascii="Times New Roman" w:hAnsi="Times New Roman" w:cs="Times New Roman"/>
                <w:i/>
                <w:vertAlign w:val="subscript"/>
              </w:rPr>
              <w:t>t</w:t>
            </w:r>
            <w:proofErr w:type="spellEnd"/>
            <w:r>
              <w:rPr>
                <w:rFonts w:ascii="Times New Roman" w:hAnsi="Times New Roman" w:cs="Times New Roman"/>
              </w:rPr>
              <w:t xml:space="preserve"> = 4.25</w:t>
            </w:r>
            <w:r w:rsidRPr="005E53F6">
              <w:rPr>
                <w:rFonts w:ascii="Times New Roman" w:hAnsi="Times New Roman" w:cs="Times New Roman"/>
              </w:rPr>
              <w:t>% for all years</w:t>
            </w:r>
          </w:p>
          <w:p w:rsidR="00236771" w:rsidRPr="00AF7AB1" w:rsidRDefault="00236771" w:rsidP="00BA6256">
            <w:pPr>
              <w:pStyle w:val="FootnoteText"/>
              <w:numPr>
                <w:ilvl w:val="0"/>
                <w:numId w:val="5"/>
              </w:numPr>
              <w:ind w:left="695"/>
              <w:rPr>
                <w:rFonts w:ascii="Times New Roman" w:hAnsi="Times New Roman" w:cs="Times New Roman"/>
              </w:rPr>
            </w:pPr>
            <w:r>
              <w:rPr>
                <w:rFonts w:ascii="Times New Roman" w:hAnsi="Times New Roman" w:cs="Times New Roman"/>
              </w:rPr>
              <w:t>Year 1</w:t>
            </w:r>
            <w:r w:rsidRPr="00AF7AB1">
              <w:rPr>
                <w:rFonts w:ascii="Times New Roman" w:hAnsi="Times New Roman" w:cs="Times New Roman"/>
              </w:rPr>
              <w:t xml:space="preserve"> revenue from parking operations = $30 million</w:t>
            </w:r>
          </w:p>
          <w:p w:rsidR="00236771" w:rsidRPr="00AF7AB1" w:rsidRDefault="00236771" w:rsidP="00BA6256">
            <w:pPr>
              <w:pStyle w:val="ListParagraph"/>
              <w:numPr>
                <w:ilvl w:val="0"/>
                <w:numId w:val="5"/>
              </w:numPr>
              <w:spacing w:before="0"/>
              <w:ind w:left="695"/>
              <w:rPr>
                <w:rFonts w:ascii="Times New Roman" w:hAnsi="Times New Roman" w:cs="Times New Roman"/>
                <w:sz w:val="20"/>
                <w:szCs w:val="20"/>
              </w:rPr>
            </w:pPr>
            <w:r w:rsidRPr="00AF7AB1">
              <w:rPr>
                <w:rFonts w:ascii="Times New Roman" w:hAnsi="Times New Roman" w:cs="Times New Roman"/>
                <w:sz w:val="20"/>
                <w:szCs w:val="20"/>
              </w:rPr>
              <w:t xml:space="preserve">Parking </w:t>
            </w:r>
            <w:r>
              <w:rPr>
                <w:rFonts w:ascii="Times New Roman" w:hAnsi="Times New Roman" w:cs="Times New Roman"/>
                <w:sz w:val="20"/>
                <w:szCs w:val="20"/>
              </w:rPr>
              <w:t xml:space="preserve">revenues (from all sources) </w:t>
            </w:r>
            <w:r w:rsidRPr="00AF7AB1">
              <w:rPr>
                <w:rFonts w:ascii="Times New Roman" w:hAnsi="Times New Roman" w:cs="Times New Roman"/>
                <w:sz w:val="20"/>
                <w:szCs w:val="20"/>
              </w:rPr>
              <w:t>increase by 5.5%  for years 1-10; 4% thereafter</w:t>
            </w:r>
            <w:r w:rsidR="00C800B4">
              <w:rPr>
                <w:rFonts w:ascii="Times New Roman" w:hAnsi="Times New Roman" w:cs="Times New Roman"/>
                <w:sz w:val="20"/>
                <w:szCs w:val="20"/>
              </w:rPr>
              <w:t xml:space="preserve"> and are the same for the University and the operator</w:t>
            </w:r>
          </w:p>
          <w:p w:rsidR="00236771" w:rsidRPr="0073312B" w:rsidRDefault="00236771" w:rsidP="00BA6256">
            <w:pPr>
              <w:pStyle w:val="FootnoteText"/>
              <w:numPr>
                <w:ilvl w:val="0"/>
                <w:numId w:val="5"/>
              </w:numPr>
              <w:ind w:left="695"/>
              <w:rPr>
                <w:rFonts w:ascii="Times New Roman" w:hAnsi="Times New Roman" w:cs="Times New Roman"/>
              </w:rPr>
            </w:pPr>
            <w:r>
              <w:rPr>
                <w:rFonts w:ascii="Times New Roman" w:hAnsi="Times New Roman" w:cs="Times New Roman"/>
              </w:rPr>
              <w:t>Year 1</w:t>
            </w:r>
            <w:r w:rsidRPr="00AF7AB1">
              <w:rPr>
                <w:rFonts w:ascii="Times New Roman" w:hAnsi="Times New Roman" w:cs="Times New Roman"/>
              </w:rPr>
              <w:t xml:space="preserve"> operating expenses = $9 million</w:t>
            </w:r>
          </w:p>
          <w:p w:rsidR="00236771" w:rsidRDefault="00236771" w:rsidP="00BA6256">
            <w:pPr>
              <w:pStyle w:val="FootnoteText"/>
              <w:numPr>
                <w:ilvl w:val="0"/>
                <w:numId w:val="5"/>
              </w:numPr>
              <w:ind w:left="695"/>
              <w:rPr>
                <w:rFonts w:ascii="Times New Roman" w:hAnsi="Times New Roman" w:cs="Times New Roman"/>
              </w:rPr>
            </w:pPr>
            <w:r>
              <w:rPr>
                <w:rFonts w:ascii="Times New Roman" w:hAnsi="Times New Roman" w:cs="Times New Roman"/>
              </w:rPr>
              <w:t>University operating expenses = 100% of operator operating expenses for all years</w:t>
            </w:r>
          </w:p>
          <w:p w:rsidR="00236771" w:rsidRDefault="00236771" w:rsidP="00BA6256">
            <w:pPr>
              <w:pStyle w:val="FootnoteText"/>
              <w:numPr>
                <w:ilvl w:val="0"/>
                <w:numId w:val="5"/>
              </w:numPr>
              <w:ind w:left="695"/>
              <w:rPr>
                <w:rFonts w:ascii="Times New Roman" w:hAnsi="Times New Roman" w:cs="Times New Roman"/>
              </w:rPr>
            </w:pPr>
            <w:r w:rsidRPr="00AF7AB1">
              <w:rPr>
                <w:rFonts w:ascii="Times New Roman" w:hAnsi="Times New Roman" w:cs="Times New Roman"/>
              </w:rPr>
              <w:t>Capital expenditures are the same for the University and the operator</w:t>
            </w:r>
          </w:p>
          <w:p w:rsidR="00236771" w:rsidRPr="00236771" w:rsidRDefault="00236771" w:rsidP="00BA6256">
            <w:pPr>
              <w:pStyle w:val="FootnoteText"/>
              <w:numPr>
                <w:ilvl w:val="0"/>
                <w:numId w:val="5"/>
              </w:numPr>
              <w:ind w:left="695"/>
              <w:rPr>
                <w:rFonts w:ascii="Times New Roman" w:hAnsi="Times New Roman" w:cs="Times New Roman"/>
              </w:rPr>
            </w:pPr>
            <w:r>
              <w:rPr>
                <w:rFonts w:ascii="Times New Roman" w:hAnsi="Times New Roman" w:cs="Times New Roman"/>
              </w:rPr>
              <w:t>Inflation = 3.3% per year</w:t>
            </w:r>
          </w:p>
        </w:tc>
      </w:tr>
    </w:tbl>
    <w:p w:rsidR="00FC1D8B" w:rsidRDefault="00FC1D8B" w:rsidP="007A48C4">
      <w:pPr>
        <w:spacing w:before="0"/>
        <w:ind w:left="0" w:firstLine="0"/>
        <w:rPr>
          <w:rFonts w:ascii="Times New Roman" w:hAnsi="Times New Roman" w:cs="Times New Roman"/>
          <w:sz w:val="24"/>
          <w:szCs w:val="24"/>
        </w:rPr>
      </w:pPr>
    </w:p>
    <w:p w:rsidR="000E7AFE" w:rsidRDefault="000E7AFE" w:rsidP="000E7AFE">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The effect of differential operating costs between the operator and the University can be inferred by comparing case A with case C or case D with case G.  Cases C and G assume that the University’s operating costs, if it operates the parking facilities, are higher relative to cases A and D.  The effect of the higher operating costs is seen by comparing the projected 50-year out value of the LTIP.  Under University operation, the LTIP would be $500 million less if operating </w:t>
      </w:r>
      <w:r>
        <w:rPr>
          <w:rFonts w:ascii="Times New Roman" w:hAnsi="Times New Roman" w:cs="Times New Roman"/>
          <w:sz w:val="24"/>
          <w:szCs w:val="24"/>
        </w:rPr>
        <w:lastRenderedPageBreak/>
        <w:t>expenses are 5 percent higher (case A and C) with a 9% return on the LTIP, or $369</w:t>
      </w:r>
      <w:r w:rsidR="00363710">
        <w:rPr>
          <w:rFonts w:ascii="Times New Roman" w:hAnsi="Times New Roman" w:cs="Times New Roman"/>
          <w:sz w:val="24"/>
          <w:szCs w:val="24"/>
        </w:rPr>
        <w:t xml:space="preserve"> million</w:t>
      </w:r>
      <w:r>
        <w:rPr>
          <w:rFonts w:ascii="Times New Roman" w:hAnsi="Times New Roman" w:cs="Times New Roman"/>
          <w:sz w:val="24"/>
          <w:szCs w:val="24"/>
        </w:rPr>
        <w:t xml:space="preserve"> less (case D and G) with an 8% return.</w:t>
      </w:r>
    </w:p>
    <w:p w:rsidR="000E7AFE" w:rsidRDefault="000E7AFE" w:rsidP="000E7AFE">
      <w:pPr>
        <w:spacing w:before="0"/>
        <w:ind w:left="0" w:firstLine="0"/>
        <w:rPr>
          <w:rFonts w:ascii="Times New Roman" w:hAnsi="Times New Roman" w:cs="Times New Roman"/>
          <w:sz w:val="24"/>
          <w:szCs w:val="24"/>
        </w:rPr>
      </w:pPr>
    </w:p>
    <w:p w:rsidR="000E7AFE" w:rsidRDefault="000E7AFE" w:rsidP="000E7AFE">
      <w:pPr>
        <w:spacing w:before="0"/>
        <w:ind w:left="0" w:firstLine="0"/>
        <w:rPr>
          <w:rFonts w:ascii="Times New Roman" w:hAnsi="Times New Roman" w:cs="Times New Roman"/>
          <w:sz w:val="24"/>
          <w:szCs w:val="24"/>
        </w:rPr>
      </w:pPr>
      <w:r>
        <w:rPr>
          <w:rFonts w:ascii="Times New Roman" w:hAnsi="Times New Roman" w:cs="Times New Roman"/>
          <w:sz w:val="24"/>
          <w:szCs w:val="24"/>
        </w:rPr>
        <w:t>Note that the examples shown in Table 1 are intended only to show how differences in parameters would affect the financial projections.  They are not intended to translate into a “rule” indicating the conditions that would imply when to accept or reject a bid.  Instead, the examples show how bids can be evaluated using the spreadsheet to compare the effects of leasing vs. operating the parking facilities.</w:t>
      </w:r>
    </w:p>
    <w:p w:rsidR="001B4829" w:rsidRDefault="001B4829" w:rsidP="007A48C4">
      <w:pPr>
        <w:spacing w:before="0"/>
        <w:ind w:left="0" w:firstLine="0"/>
        <w:rPr>
          <w:rFonts w:ascii="Times New Roman" w:hAnsi="Times New Roman" w:cs="Times New Roman"/>
          <w:sz w:val="24"/>
          <w:szCs w:val="24"/>
        </w:rPr>
      </w:pPr>
    </w:p>
    <w:p w:rsidR="00C7549B" w:rsidRDefault="00342308" w:rsidP="00AD3A0F">
      <w:pPr>
        <w:spacing w:before="0"/>
        <w:ind w:left="0" w:firstLine="0"/>
        <w:rPr>
          <w:rFonts w:ascii="Times New Roman" w:hAnsi="Times New Roman" w:cs="Times New Roman"/>
          <w:sz w:val="24"/>
          <w:szCs w:val="24"/>
          <w:u w:val="single"/>
        </w:rPr>
      </w:pPr>
      <w:r>
        <w:rPr>
          <w:rFonts w:ascii="Times New Roman" w:hAnsi="Times New Roman" w:cs="Times New Roman"/>
          <w:sz w:val="24"/>
          <w:szCs w:val="24"/>
          <w:u w:val="single"/>
        </w:rPr>
        <w:t>Effect of Annual Cash Flow</w:t>
      </w:r>
      <w:r w:rsidR="00236771">
        <w:rPr>
          <w:rFonts w:ascii="Times New Roman" w:hAnsi="Times New Roman" w:cs="Times New Roman"/>
          <w:sz w:val="24"/>
          <w:szCs w:val="24"/>
          <w:u w:val="single"/>
        </w:rPr>
        <w:t xml:space="preserve"> Patterns</w:t>
      </w:r>
    </w:p>
    <w:p w:rsidR="00C7549B" w:rsidRDefault="00C7549B" w:rsidP="00AD3A0F">
      <w:pPr>
        <w:spacing w:before="0"/>
        <w:ind w:left="0" w:firstLine="0"/>
        <w:rPr>
          <w:rFonts w:ascii="Times New Roman" w:hAnsi="Times New Roman" w:cs="Times New Roman"/>
          <w:sz w:val="24"/>
          <w:szCs w:val="24"/>
          <w:u w:val="single"/>
        </w:rPr>
      </w:pPr>
    </w:p>
    <w:p w:rsidR="00C82F66" w:rsidRDefault="00C7549B" w:rsidP="00AD3A0F">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The University is expected to use some or all of the cash flows generated by parking to pay for activities other than parking operations and related capital expenditures.  These </w:t>
      </w:r>
      <w:r w:rsidR="000760E6">
        <w:rPr>
          <w:rFonts w:ascii="Times New Roman" w:hAnsi="Times New Roman" w:cs="Times New Roman"/>
          <w:sz w:val="24"/>
          <w:szCs w:val="24"/>
        </w:rPr>
        <w:t xml:space="preserve">activities might include </w:t>
      </w:r>
      <w:r w:rsidR="000760E6" w:rsidRPr="007A48C4">
        <w:rPr>
          <w:rFonts w:ascii="Times New Roman" w:hAnsi="Times New Roman" w:cs="Times New Roman"/>
          <w:sz w:val="24"/>
          <w:szCs w:val="24"/>
        </w:rPr>
        <w:t>Campus Area Bus Service (CABS), debt service</w:t>
      </w:r>
      <w:r w:rsidR="000760E6">
        <w:rPr>
          <w:rFonts w:ascii="Times New Roman" w:hAnsi="Times New Roman" w:cs="Times New Roman"/>
          <w:sz w:val="24"/>
          <w:szCs w:val="24"/>
        </w:rPr>
        <w:t xml:space="preserve">, </w:t>
      </w:r>
      <w:r w:rsidR="00236771">
        <w:rPr>
          <w:rFonts w:ascii="Times New Roman" w:hAnsi="Times New Roman" w:cs="Times New Roman"/>
          <w:sz w:val="24"/>
          <w:szCs w:val="24"/>
        </w:rPr>
        <w:t xml:space="preserve">the </w:t>
      </w:r>
      <w:r w:rsidR="000760E6">
        <w:rPr>
          <w:rFonts w:ascii="Times New Roman" w:hAnsi="Times New Roman" w:cs="Times New Roman"/>
          <w:sz w:val="24"/>
          <w:szCs w:val="24"/>
        </w:rPr>
        <w:t xml:space="preserve">academic core, or other activities.  </w:t>
      </w:r>
      <w:r w:rsidR="00236771">
        <w:rPr>
          <w:rFonts w:ascii="Times New Roman" w:hAnsi="Times New Roman" w:cs="Times New Roman"/>
          <w:sz w:val="24"/>
          <w:szCs w:val="24"/>
        </w:rPr>
        <w:t xml:space="preserve">Table 1 shows the results when annual cash flows for non-parking activities are </w:t>
      </w:r>
      <w:r w:rsidR="00C82F66">
        <w:rPr>
          <w:rFonts w:ascii="Times New Roman" w:hAnsi="Times New Roman" w:cs="Times New Roman"/>
          <w:sz w:val="24"/>
          <w:szCs w:val="24"/>
        </w:rPr>
        <w:t xml:space="preserve">calculated as 4.25% of the amount invested in the LTIP assuming the external-operator alternative is selected. </w:t>
      </w:r>
    </w:p>
    <w:p w:rsidR="00C82F66" w:rsidRDefault="00C82F66" w:rsidP="00AD3A0F">
      <w:pPr>
        <w:spacing w:before="0"/>
        <w:ind w:left="0" w:firstLine="0"/>
        <w:rPr>
          <w:rFonts w:ascii="Times New Roman" w:hAnsi="Times New Roman" w:cs="Times New Roman"/>
          <w:sz w:val="24"/>
          <w:szCs w:val="24"/>
        </w:rPr>
      </w:pPr>
    </w:p>
    <w:p w:rsidR="000760E6" w:rsidRDefault="000760E6" w:rsidP="00AD3A0F">
      <w:pPr>
        <w:spacing w:before="0"/>
        <w:ind w:left="0" w:firstLine="0"/>
        <w:rPr>
          <w:rFonts w:ascii="Times New Roman" w:hAnsi="Times New Roman" w:cs="Times New Roman"/>
          <w:sz w:val="24"/>
          <w:szCs w:val="24"/>
        </w:rPr>
      </w:pPr>
      <w:r>
        <w:rPr>
          <w:rFonts w:ascii="Times New Roman" w:hAnsi="Times New Roman" w:cs="Times New Roman"/>
          <w:sz w:val="24"/>
          <w:szCs w:val="24"/>
        </w:rPr>
        <w:t>The analysis summarized in Table 2 demonstrates that</w:t>
      </w:r>
      <w:r w:rsidR="00342308">
        <w:rPr>
          <w:rFonts w:ascii="Times New Roman" w:hAnsi="Times New Roman" w:cs="Times New Roman"/>
          <w:sz w:val="24"/>
          <w:szCs w:val="24"/>
        </w:rPr>
        <w:t xml:space="preserve"> implications of the analysis presented above are unaffected </w:t>
      </w:r>
      <w:r w:rsidR="00BF5C8A">
        <w:rPr>
          <w:rFonts w:ascii="Times New Roman" w:hAnsi="Times New Roman" w:cs="Times New Roman"/>
          <w:sz w:val="24"/>
          <w:szCs w:val="24"/>
        </w:rPr>
        <w:t xml:space="preserve">by changes in the </w:t>
      </w:r>
      <w:r>
        <w:rPr>
          <w:rFonts w:ascii="Times New Roman" w:hAnsi="Times New Roman" w:cs="Times New Roman"/>
          <w:sz w:val="24"/>
          <w:szCs w:val="24"/>
        </w:rPr>
        <w:t>amounts and timing of cash flows</w:t>
      </w:r>
      <w:r w:rsidR="00342308">
        <w:rPr>
          <w:rFonts w:ascii="Times New Roman" w:hAnsi="Times New Roman" w:cs="Times New Roman"/>
          <w:sz w:val="24"/>
          <w:szCs w:val="24"/>
        </w:rPr>
        <w:t xml:space="preserve"> to support other activities.  </w:t>
      </w: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3870"/>
        <w:gridCol w:w="1620"/>
        <w:gridCol w:w="1800"/>
        <w:gridCol w:w="1548"/>
      </w:tblGrid>
      <w:tr w:rsidR="00C82F66" w:rsidTr="00C82F66">
        <w:tc>
          <w:tcPr>
            <w:tcW w:w="9576" w:type="dxa"/>
            <w:gridSpan w:val="5"/>
          </w:tcPr>
          <w:p w:rsidR="00C82F66" w:rsidRDefault="00C82F66" w:rsidP="00C82F66">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Table 2</w:t>
            </w:r>
          </w:p>
          <w:p w:rsidR="00C82F66" w:rsidRDefault="00C82F66" w:rsidP="00C82F66">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Possible Cash Distribution Patterns</w:t>
            </w:r>
          </w:p>
          <w:p w:rsidR="00C82F66" w:rsidRDefault="00C82F66" w:rsidP="00342308">
            <w:pPr>
              <w:spacing w:before="0"/>
              <w:ind w:left="0" w:firstLine="0"/>
              <w:rPr>
                <w:rFonts w:ascii="Times New Roman" w:hAnsi="Times New Roman" w:cs="Times New Roman"/>
                <w:sz w:val="24"/>
                <w:szCs w:val="24"/>
              </w:rPr>
            </w:pPr>
          </w:p>
        </w:tc>
      </w:tr>
      <w:tr w:rsidR="000760E6" w:rsidTr="00342308">
        <w:tc>
          <w:tcPr>
            <w:tcW w:w="738" w:type="dxa"/>
            <w:tcBorders>
              <w:top w:val="single" w:sz="4" w:space="0" w:color="auto"/>
              <w:left w:val="single" w:sz="4" w:space="0" w:color="auto"/>
            </w:tcBorders>
          </w:tcPr>
          <w:p w:rsidR="000760E6" w:rsidRDefault="000760E6" w:rsidP="00342308">
            <w:pPr>
              <w:spacing w:before="0"/>
              <w:ind w:left="0" w:firstLine="0"/>
              <w:rPr>
                <w:rFonts w:ascii="Times New Roman" w:hAnsi="Times New Roman" w:cs="Times New Roman"/>
                <w:sz w:val="24"/>
                <w:szCs w:val="24"/>
              </w:rPr>
            </w:pPr>
          </w:p>
        </w:tc>
        <w:tc>
          <w:tcPr>
            <w:tcW w:w="3870" w:type="dxa"/>
            <w:tcBorders>
              <w:top w:val="single" w:sz="4" w:space="0" w:color="auto"/>
              <w:left w:val="single" w:sz="4" w:space="0" w:color="auto"/>
            </w:tcBorders>
          </w:tcPr>
          <w:p w:rsidR="000760E6" w:rsidRDefault="000760E6" w:rsidP="00342308">
            <w:pPr>
              <w:spacing w:before="0"/>
              <w:ind w:left="0" w:firstLine="0"/>
              <w:rPr>
                <w:rFonts w:ascii="Times New Roman" w:hAnsi="Times New Roman" w:cs="Times New Roman"/>
                <w:sz w:val="24"/>
                <w:szCs w:val="24"/>
              </w:rPr>
            </w:pPr>
          </w:p>
        </w:tc>
        <w:tc>
          <w:tcPr>
            <w:tcW w:w="3420" w:type="dxa"/>
            <w:gridSpan w:val="2"/>
            <w:tcBorders>
              <w:top w:val="single" w:sz="4" w:space="0" w:color="auto"/>
            </w:tcBorders>
          </w:tcPr>
          <w:p w:rsidR="000760E6" w:rsidRDefault="000760E6" w:rsidP="00342308">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Ending LTIP</w:t>
            </w:r>
          </w:p>
        </w:tc>
        <w:tc>
          <w:tcPr>
            <w:tcW w:w="1548" w:type="dxa"/>
            <w:tcBorders>
              <w:top w:val="single" w:sz="4" w:space="0" w:color="auto"/>
              <w:right w:val="single" w:sz="4" w:space="0" w:color="auto"/>
            </w:tcBorders>
          </w:tcPr>
          <w:p w:rsidR="000760E6" w:rsidRDefault="000760E6" w:rsidP="00342308">
            <w:pPr>
              <w:spacing w:before="0"/>
              <w:ind w:left="0" w:firstLine="0"/>
              <w:rPr>
                <w:rFonts w:ascii="Times New Roman" w:hAnsi="Times New Roman" w:cs="Times New Roman"/>
                <w:sz w:val="24"/>
                <w:szCs w:val="24"/>
              </w:rPr>
            </w:pPr>
          </w:p>
        </w:tc>
      </w:tr>
      <w:tr w:rsidR="000760E6" w:rsidTr="00342308">
        <w:tc>
          <w:tcPr>
            <w:tcW w:w="738" w:type="dxa"/>
            <w:tcBorders>
              <w:left w:val="single" w:sz="4" w:space="0" w:color="auto"/>
              <w:bottom w:val="single" w:sz="4" w:space="0" w:color="auto"/>
            </w:tcBorders>
            <w:vAlign w:val="bottom"/>
          </w:tcPr>
          <w:p w:rsidR="000760E6" w:rsidRPr="004E6B5E" w:rsidRDefault="000760E6" w:rsidP="00342308">
            <w:pPr>
              <w:spacing w:before="0"/>
              <w:ind w:left="0" w:firstLine="0"/>
              <w:jc w:val="center"/>
              <w:rPr>
                <w:rFonts w:ascii="Times New Roman" w:hAnsi="Times New Roman" w:cs="Times New Roman"/>
                <w:sz w:val="24"/>
                <w:szCs w:val="24"/>
                <w:u w:val="single"/>
              </w:rPr>
            </w:pPr>
            <w:r>
              <w:rPr>
                <w:rFonts w:ascii="Times New Roman" w:hAnsi="Times New Roman" w:cs="Times New Roman"/>
                <w:sz w:val="24"/>
                <w:szCs w:val="24"/>
                <w:u w:val="single"/>
              </w:rPr>
              <w:t>Case</w:t>
            </w:r>
          </w:p>
        </w:tc>
        <w:tc>
          <w:tcPr>
            <w:tcW w:w="3870" w:type="dxa"/>
            <w:tcBorders>
              <w:left w:val="single" w:sz="4" w:space="0" w:color="auto"/>
              <w:bottom w:val="single" w:sz="4" w:space="0" w:color="auto"/>
            </w:tcBorders>
            <w:vAlign w:val="bottom"/>
          </w:tcPr>
          <w:p w:rsidR="000760E6" w:rsidRPr="004E6B5E" w:rsidRDefault="00C82F66" w:rsidP="00C82F66">
            <w:pPr>
              <w:spacing w:before="0"/>
              <w:ind w:left="0" w:firstLine="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Change from Base </w:t>
            </w:r>
            <w:r w:rsidR="000760E6" w:rsidRPr="004E6B5E">
              <w:rPr>
                <w:rFonts w:ascii="Times New Roman" w:hAnsi="Times New Roman" w:cs="Times New Roman"/>
                <w:sz w:val="24"/>
                <w:szCs w:val="24"/>
                <w:u w:val="single"/>
              </w:rPr>
              <w:t>Assumptions</w:t>
            </w:r>
          </w:p>
        </w:tc>
        <w:tc>
          <w:tcPr>
            <w:tcW w:w="1620" w:type="dxa"/>
            <w:tcBorders>
              <w:bottom w:val="single" w:sz="4" w:space="0" w:color="auto"/>
            </w:tcBorders>
            <w:vAlign w:val="bottom"/>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External-lease</w:t>
            </w:r>
          </w:p>
          <w:p w:rsidR="000760E6" w:rsidRPr="004E6B5E" w:rsidRDefault="000760E6" w:rsidP="00342308">
            <w:pPr>
              <w:spacing w:before="0"/>
              <w:ind w:left="0" w:firstLine="0"/>
              <w:jc w:val="right"/>
              <w:rPr>
                <w:rFonts w:ascii="Times New Roman" w:hAnsi="Times New Roman" w:cs="Times New Roman"/>
                <w:sz w:val="24"/>
                <w:szCs w:val="24"/>
                <w:u w:val="single"/>
              </w:rPr>
            </w:pPr>
            <w:r w:rsidRPr="004E6B5E">
              <w:rPr>
                <w:rFonts w:ascii="Times New Roman" w:hAnsi="Times New Roman" w:cs="Times New Roman"/>
                <w:sz w:val="24"/>
                <w:szCs w:val="24"/>
                <w:u w:val="single"/>
              </w:rPr>
              <w:t>(in $millions)</w:t>
            </w:r>
          </w:p>
        </w:tc>
        <w:tc>
          <w:tcPr>
            <w:tcW w:w="1800" w:type="dxa"/>
            <w:tcBorders>
              <w:bottom w:val="single" w:sz="4" w:space="0" w:color="auto"/>
            </w:tcBorders>
            <w:vAlign w:val="bottom"/>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 xml:space="preserve">Internal-operation </w:t>
            </w:r>
          </w:p>
          <w:p w:rsidR="000760E6" w:rsidRDefault="000760E6" w:rsidP="00342308">
            <w:pPr>
              <w:spacing w:before="0"/>
              <w:ind w:left="0" w:firstLine="0"/>
              <w:jc w:val="right"/>
              <w:rPr>
                <w:rFonts w:ascii="Times New Roman" w:hAnsi="Times New Roman" w:cs="Times New Roman"/>
                <w:sz w:val="24"/>
                <w:szCs w:val="24"/>
              </w:rPr>
            </w:pPr>
            <w:r w:rsidRPr="004E6B5E">
              <w:rPr>
                <w:rFonts w:ascii="Times New Roman" w:hAnsi="Times New Roman" w:cs="Times New Roman"/>
                <w:sz w:val="24"/>
                <w:szCs w:val="24"/>
                <w:u w:val="single"/>
              </w:rPr>
              <w:t>(in $millions)</w:t>
            </w:r>
          </w:p>
        </w:tc>
        <w:tc>
          <w:tcPr>
            <w:tcW w:w="1548" w:type="dxa"/>
            <w:tcBorders>
              <w:bottom w:val="single" w:sz="4" w:space="0" w:color="auto"/>
              <w:right w:val="single" w:sz="4" w:space="0" w:color="auto"/>
            </w:tcBorders>
            <w:vAlign w:val="bottom"/>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Total cash distributed</w:t>
            </w:r>
          </w:p>
          <w:p w:rsidR="000760E6" w:rsidRPr="004E6B5E" w:rsidRDefault="000760E6" w:rsidP="00342308">
            <w:pPr>
              <w:spacing w:before="0"/>
              <w:ind w:left="0" w:firstLine="0"/>
              <w:jc w:val="right"/>
              <w:rPr>
                <w:rFonts w:ascii="Times New Roman" w:hAnsi="Times New Roman" w:cs="Times New Roman"/>
                <w:sz w:val="24"/>
                <w:szCs w:val="24"/>
                <w:u w:val="single"/>
              </w:rPr>
            </w:pPr>
            <w:r w:rsidRPr="004E6B5E">
              <w:rPr>
                <w:rFonts w:ascii="Times New Roman" w:hAnsi="Times New Roman" w:cs="Times New Roman"/>
                <w:sz w:val="24"/>
                <w:szCs w:val="24"/>
                <w:u w:val="single"/>
              </w:rPr>
              <w:t>(in $millions)</w:t>
            </w:r>
          </w:p>
        </w:tc>
      </w:tr>
      <w:tr w:rsidR="000760E6" w:rsidTr="00342308">
        <w:trPr>
          <w:cantSplit/>
        </w:trPr>
        <w:tc>
          <w:tcPr>
            <w:tcW w:w="738" w:type="dxa"/>
            <w:tcBorders>
              <w:top w:val="single" w:sz="4" w:space="0" w:color="auto"/>
              <w:left w:val="single" w:sz="4" w:space="0" w:color="auto"/>
              <w:bottom w:val="single" w:sz="4" w:space="0" w:color="auto"/>
            </w:tcBorders>
          </w:tcPr>
          <w:p w:rsidR="000760E6" w:rsidRPr="00A97107" w:rsidRDefault="000E7AFE" w:rsidP="00342308">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H</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0760E6" w:rsidRPr="00E17552" w:rsidRDefault="000760E6" w:rsidP="00342308">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Distribution = 5% of LTIP</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342308">
              <w:rPr>
                <w:rFonts w:ascii="Times New Roman" w:hAnsi="Times New Roman" w:cs="Times New Roman"/>
                <w:sz w:val="24"/>
                <w:szCs w:val="24"/>
              </w:rPr>
              <w:t>2,843</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342308">
              <w:rPr>
                <w:rFonts w:ascii="Times New Roman" w:hAnsi="Times New Roman" w:cs="Times New Roman"/>
                <w:sz w:val="24"/>
                <w:szCs w:val="24"/>
              </w:rPr>
              <w:t>1,042</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$3,</w:t>
            </w:r>
            <w:r w:rsidR="00342308">
              <w:rPr>
                <w:rFonts w:ascii="Times New Roman" w:hAnsi="Times New Roman" w:cs="Times New Roman"/>
                <w:sz w:val="24"/>
                <w:szCs w:val="24"/>
              </w:rPr>
              <w:t>053</w:t>
            </w:r>
          </w:p>
        </w:tc>
      </w:tr>
      <w:tr w:rsidR="000760E6" w:rsidTr="00342308">
        <w:trPr>
          <w:cantSplit/>
        </w:trPr>
        <w:tc>
          <w:tcPr>
            <w:tcW w:w="738" w:type="dxa"/>
            <w:tcBorders>
              <w:top w:val="single" w:sz="4" w:space="0" w:color="auto"/>
              <w:left w:val="single" w:sz="4" w:space="0" w:color="auto"/>
              <w:bottom w:val="single" w:sz="4" w:space="0" w:color="auto"/>
            </w:tcBorders>
          </w:tcPr>
          <w:p w:rsidR="000760E6" w:rsidRPr="00A97107" w:rsidRDefault="000E7AFE" w:rsidP="00342308">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I</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0760E6" w:rsidRDefault="000760E6" w:rsidP="00342308">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Distribution = All cash generated by internal operation</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$1,674</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0760E6">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$0</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0760E6" w:rsidRDefault="000760E6" w:rsidP="000760E6">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$3,547</w:t>
            </w:r>
          </w:p>
        </w:tc>
      </w:tr>
      <w:tr w:rsidR="000760E6" w:rsidTr="00342308">
        <w:trPr>
          <w:cantSplit/>
        </w:trPr>
        <w:tc>
          <w:tcPr>
            <w:tcW w:w="738" w:type="dxa"/>
            <w:tcBorders>
              <w:top w:val="single" w:sz="4" w:space="0" w:color="auto"/>
              <w:left w:val="single" w:sz="4" w:space="0" w:color="auto"/>
              <w:bottom w:val="single" w:sz="4" w:space="0" w:color="auto"/>
            </w:tcBorders>
          </w:tcPr>
          <w:p w:rsidR="000760E6" w:rsidRPr="00A97107" w:rsidRDefault="000E7AFE" w:rsidP="00342308">
            <w:pPr>
              <w:spacing w:before="0"/>
              <w:ind w:left="0" w:firstLine="0"/>
              <w:jc w:val="center"/>
              <w:rPr>
                <w:rFonts w:ascii="Times New Roman" w:hAnsi="Times New Roman" w:cs="Times New Roman"/>
                <w:sz w:val="24"/>
                <w:szCs w:val="24"/>
              </w:rPr>
            </w:pPr>
            <w:r>
              <w:rPr>
                <w:rFonts w:ascii="Times New Roman" w:hAnsi="Times New Roman" w:cs="Times New Roman"/>
                <w:sz w:val="24"/>
                <w:szCs w:val="24"/>
              </w:rPr>
              <w:t>J</w:t>
            </w:r>
          </w:p>
        </w:tc>
        <w:tc>
          <w:tcPr>
            <w:tcW w:w="3870" w:type="dxa"/>
            <w:tcBorders>
              <w:top w:val="single" w:sz="4" w:space="0" w:color="auto"/>
              <w:left w:val="single" w:sz="4" w:space="0" w:color="auto"/>
              <w:bottom w:val="single" w:sz="4" w:space="0" w:color="auto"/>
            </w:tcBorders>
            <w:tcMar>
              <w:top w:w="72" w:type="dxa"/>
              <w:left w:w="115" w:type="dxa"/>
              <w:bottom w:w="72" w:type="dxa"/>
              <w:right w:w="115" w:type="dxa"/>
            </w:tcMar>
          </w:tcPr>
          <w:p w:rsidR="000760E6" w:rsidRDefault="000760E6" w:rsidP="00C82F66">
            <w:pPr>
              <w:pStyle w:val="ListParagraph"/>
              <w:numPr>
                <w:ilvl w:val="0"/>
                <w:numId w:val="4"/>
              </w:numPr>
              <w:spacing w:before="0"/>
              <w:ind w:left="360"/>
              <w:rPr>
                <w:rFonts w:ascii="Times New Roman" w:hAnsi="Times New Roman" w:cs="Times New Roman"/>
                <w:sz w:val="24"/>
                <w:szCs w:val="24"/>
              </w:rPr>
            </w:pPr>
            <w:r>
              <w:rPr>
                <w:rFonts w:ascii="Times New Roman" w:hAnsi="Times New Roman" w:cs="Times New Roman"/>
                <w:sz w:val="24"/>
                <w:szCs w:val="24"/>
              </w:rPr>
              <w:t xml:space="preserve">Distribution = Amount </w:t>
            </w:r>
            <w:r w:rsidR="00C82F66">
              <w:rPr>
                <w:rFonts w:ascii="Times New Roman" w:hAnsi="Times New Roman" w:cs="Times New Roman"/>
                <w:sz w:val="24"/>
                <w:szCs w:val="24"/>
              </w:rPr>
              <w:t>a</w:t>
            </w:r>
            <w:r>
              <w:rPr>
                <w:rFonts w:ascii="Times New Roman" w:hAnsi="Times New Roman" w:cs="Times New Roman"/>
                <w:sz w:val="24"/>
                <w:szCs w:val="24"/>
              </w:rPr>
              <w:t xml:space="preserve">vailable in Year 1 with </w:t>
            </w:r>
            <w:r w:rsidR="00C82F66">
              <w:rPr>
                <w:rFonts w:ascii="Times New Roman" w:hAnsi="Times New Roman" w:cs="Times New Roman"/>
                <w:sz w:val="24"/>
                <w:szCs w:val="24"/>
              </w:rPr>
              <w:t>g</w:t>
            </w:r>
            <w:r>
              <w:rPr>
                <w:rFonts w:ascii="Times New Roman" w:hAnsi="Times New Roman" w:cs="Times New Roman"/>
                <w:sz w:val="24"/>
                <w:szCs w:val="24"/>
              </w:rPr>
              <w:t xml:space="preserve">rowth at </w:t>
            </w:r>
            <w:r w:rsidR="00C82F66">
              <w:rPr>
                <w:rFonts w:ascii="Times New Roman" w:hAnsi="Times New Roman" w:cs="Times New Roman"/>
                <w:sz w:val="24"/>
                <w:szCs w:val="24"/>
              </w:rPr>
              <w:t>r</w:t>
            </w:r>
            <w:r>
              <w:rPr>
                <w:rFonts w:ascii="Times New Roman" w:hAnsi="Times New Roman" w:cs="Times New Roman"/>
                <w:sz w:val="24"/>
                <w:szCs w:val="24"/>
              </w:rPr>
              <w:t xml:space="preserve">ate of </w:t>
            </w:r>
            <w:r w:rsidR="00C82F66">
              <w:rPr>
                <w:rFonts w:ascii="Times New Roman" w:hAnsi="Times New Roman" w:cs="Times New Roman"/>
                <w:sz w:val="24"/>
                <w:szCs w:val="24"/>
              </w:rPr>
              <w:t>i</w:t>
            </w:r>
            <w:r>
              <w:rPr>
                <w:rFonts w:ascii="Times New Roman" w:hAnsi="Times New Roman" w:cs="Times New Roman"/>
                <w:sz w:val="24"/>
                <w:szCs w:val="24"/>
              </w:rPr>
              <w:t>nflation</w:t>
            </w:r>
          </w:p>
        </w:tc>
        <w:tc>
          <w:tcPr>
            <w:tcW w:w="162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0760E6">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$13,549</w:t>
            </w:r>
          </w:p>
        </w:tc>
        <w:tc>
          <w:tcPr>
            <w:tcW w:w="1800" w:type="dxa"/>
            <w:tcBorders>
              <w:top w:val="single" w:sz="4" w:space="0" w:color="auto"/>
              <w:bottom w:val="single" w:sz="4" w:space="0" w:color="auto"/>
            </w:tcBorders>
            <w:tcMar>
              <w:top w:w="72" w:type="dxa"/>
              <w:left w:w="115" w:type="dxa"/>
              <w:bottom w:w="72" w:type="dxa"/>
              <w:right w:w="115" w:type="dxa"/>
            </w:tcMar>
            <w:vAlign w:val="center"/>
          </w:tcPr>
          <w:p w:rsidR="000760E6" w:rsidRDefault="000760E6" w:rsidP="000760E6">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$11,875</w:t>
            </w:r>
          </w:p>
        </w:tc>
        <w:tc>
          <w:tcPr>
            <w:tcW w:w="1548" w:type="dxa"/>
            <w:tcBorders>
              <w:top w:val="single" w:sz="4" w:space="0" w:color="auto"/>
              <w:bottom w:val="single" w:sz="4" w:space="0" w:color="auto"/>
              <w:right w:val="single" w:sz="4" w:space="0" w:color="auto"/>
            </w:tcBorders>
            <w:tcMar>
              <w:top w:w="72" w:type="dxa"/>
              <w:left w:w="115" w:type="dxa"/>
              <w:bottom w:w="72" w:type="dxa"/>
              <w:right w:w="115" w:type="dxa"/>
            </w:tcMar>
            <w:vAlign w:val="center"/>
          </w:tcPr>
          <w:p w:rsidR="000760E6" w:rsidRDefault="000760E6" w:rsidP="00342308">
            <w:pPr>
              <w:spacing w:before="0"/>
              <w:ind w:left="0" w:firstLine="0"/>
              <w:jc w:val="right"/>
              <w:rPr>
                <w:rFonts w:ascii="Times New Roman" w:hAnsi="Times New Roman" w:cs="Times New Roman"/>
                <w:sz w:val="24"/>
                <w:szCs w:val="24"/>
              </w:rPr>
            </w:pPr>
            <w:r>
              <w:rPr>
                <w:rFonts w:ascii="Times New Roman" w:hAnsi="Times New Roman" w:cs="Times New Roman"/>
                <w:sz w:val="24"/>
                <w:szCs w:val="24"/>
              </w:rPr>
              <w:t>$</w:t>
            </w:r>
            <w:r w:rsidR="00342308">
              <w:rPr>
                <w:rFonts w:ascii="Times New Roman" w:hAnsi="Times New Roman" w:cs="Times New Roman"/>
                <w:sz w:val="24"/>
                <w:szCs w:val="24"/>
              </w:rPr>
              <w:t>1,623</w:t>
            </w:r>
          </w:p>
        </w:tc>
      </w:tr>
      <w:tr w:rsidR="00C82F66" w:rsidTr="00043FAD">
        <w:trPr>
          <w:cantSplit/>
        </w:trPr>
        <w:tc>
          <w:tcPr>
            <w:tcW w:w="9576" w:type="dxa"/>
            <w:gridSpan w:val="5"/>
            <w:tcBorders>
              <w:top w:val="single" w:sz="4" w:space="0" w:color="auto"/>
              <w:left w:val="single" w:sz="4" w:space="0" w:color="auto"/>
              <w:bottom w:val="single" w:sz="4" w:space="0" w:color="auto"/>
              <w:right w:val="single" w:sz="4" w:space="0" w:color="auto"/>
            </w:tcBorders>
          </w:tcPr>
          <w:p w:rsidR="00C82F66" w:rsidRPr="00AF7AB1" w:rsidRDefault="00C82F66" w:rsidP="00C82F66">
            <w:pPr>
              <w:pStyle w:val="FootnoteText"/>
              <w:ind w:left="360"/>
              <w:rPr>
                <w:rFonts w:ascii="Times New Roman" w:hAnsi="Times New Roman" w:cs="Times New Roman"/>
              </w:rPr>
            </w:pPr>
            <w:r>
              <w:rPr>
                <w:rFonts w:ascii="Times New Roman" w:hAnsi="Times New Roman" w:cs="Times New Roman"/>
              </w:rPr>
              <w:t>NOTE: Unless otherwise noted, t</w:t>
            </w:r>
            <w:r w:rsidRPr="00AF7AB1">
              <w:rPr>
                <w:rFonts w:ascii="Times New Roman" w:hAnsi="Times New Roman" w:cs="Times New Roman"/>
              </w:rPr>
              <w:t xml:space="preserve">he results are based on the following </w:t>
            </w:r>
            <w:r>
              <w:rPr>
                <w:rFonts w:ascii="Times New Roman" w:hAnsi="Times New Roman" w:cs="Times New Roman"/>
              </w:rPr>
              <w:t xml:space="preserve">base </w:t>
            </w:r>
            <w:r w:rsidRPr="00AF7AB1">
              <w:rPr>
                <w:rFonts w:ascii="Times New Roman" w:hAnsi="Times New Roman" w:cs="Times New Roman"/>
              </w:rPr>
              <w:t xml:space="preserve">assumptions: </w:t>
            </w:r>
          </w:p>
          <w:p w:rsidR="00C82F66" w:rsidRDefault="00C82F66" w:rsidP="00C82F66">
            <w:pPr>
              <w:pStyle w:val="FootnoteText"/>
              <w:numPr>
                <w:ilvl w:val="0"/>
                <w:numId w:val="5"/>
              </w:numPr>
              <w:rPr>
                <w:rFonts w:ascii="Times New Roman" w:hAnsi="Times New Roman" w:cs="Times New Roman"/>
              </w:rPr>
            </w:pPr>
            <w:r>
              <w:rPr>
                <w:rFonts w:ascii="Times New Roman" w:hAnsi="Times New Roman" w:cs="Times New Roman"/>
              </w:rPr>
              <w:t>One-time payment from external operator (B) = $400 million</w:t>
            </w:r>
          </w:p>
          <w:p w:rsidR="00C82F66" w:rsidRDefault="00C82F66" w:rsidP="00C82F66">
            <w:pPr>
              <w:pStyle w:val="FootnoteText"/>
              <w:numPr>
                <w:ilvl w:val="0"/>
                <w:numId w:val="5"/>
              </w:numPr>
              <w:rPr>
                <w:rFonts w:ascii="Times New Roman" w:hAnsi="Times New Roman" w:cs="Times New Roman"/>
              </w:rPr>
            </w:pPr>
            <w:proofErr w:type="spellStart"/>
            <w:r w:rsidRPr="005E53F6">
              <w:rPr>
                <w:rFonts w:ascii="Times New Roman" w:hAnsi="Times New Roman" w:cs="Times New Roman"/>
                <w:i/>
              </w:rPr>
              <w:t>r</w:t>
            </w:r>
            <w:r w:rsidRPr="005E53F6">
              <w:rPr>
                <w:rFonts w:ascii="Times New Roman" w:hAnsi="Times New Roman" w:cs="Times New Roman"/>
                <w:i/>
                <w:vertAlign w:val="subscript"/>
              </w:rPr>
              <w:t>t</w:t>
            </w:r>
            <w:proofErr w:type="spellEnd"/>
            <w:r w:rsidRPr="005E53F6">
              <w:rPr>
                <w:rFonts w:ascii="Times New Roman" w:hAnsi="Times New Roman" w:cs="Times New Roman"/>
              </w:rPr>
              <w:t xml:space="preserve"> = 9% for all years</w:t>
            </w:r>
          </w:p>
          <w:p w:rsidR="00C82F66" w:rsidRPr="005E53F6" w:rsidRDefault="00C82F66" w:rsidP="00C82F66">
            <w:pPr>
              <w:pStyle w:val="FootnoteText"/>
              <w:numPr>
                <w:ilvl w:val="0"/>
                <w:numId w:val="5"/>
              </w:numPr>
              <w:rPr>
                <w:rFonts w:ascii="Times New Roman" w:hAnsi="Times New Roman" w:cs="Times New Roman"/>
              </w:rPr>
            </w:pPr>
            <w:proofErr w:type="spellStart"/>
            <w:r>
              <w:rPr>
                <w:rFonts w:ascii="Times New Roman" w:hAnsi="Times New Roman" w:cs="Times New Roman"/>
                <w:i/>
              </w:rPr>
              <w:t>d</w:t>
            </w:r>
            <w:r w:rsidRPr="005E53F6">
              <w:rPr>
                <w:rFonts w:ascii="Times New Roman" w:hAnsi="Times New Roman" w:cs="Times New Roman"/>
                <w:i/>
                <w:vertAlign w:val="subscript"/>
              </w:rPr>
              <w:t>t</w:t>
            </w:r>
            <w:proofErr w:type="spellEnd"/>
            <w:r>
              <w:rPr>
                <w:rFonts w:ascii="Times New Roman" w:hAnsi="Times New Roman" w:cs="Times New Roman"/>
              </w:rPr>
              <w:t xml:space="preserve"> = 4.25</w:t>
            </w:r>
            <w:r w:rsidRPr="005E53F6">
              <w:rPr>
                <w:rFonts w:ascii="Times New Roman" w:hAnsi="Times New Roman" w:cs="Times New Roman"/>
              </w:rPr>
              <w:t>% for all years</w:t>
            </w:r>
          </w:p>
          <w:p w:rsidR="00C82F66" w:rsidRPr="00AF7AB1" w:rsidRDefault="00C82F66" w:rsidP="00C82F66">
            <w:pPr>
              <w:pStyle w:val="FootnoteText"/>
              <w:numPr>
                <w:ilvl w:val="0"/>
                <w:numId w:val="5"/>
              </w:numPr>
              <w:rPr>
                <w:rFonts w:ascii="Times New Roman" w:hAnsi="Times New Roman" w:cs="Times New Roman"/>
              </w:rPr>
            </w:pPr>
            <w:r>
              <w:rPr>
                <w:rFonts w:ascii="Times New Roman" w:hAnsi="Times New Roman" w:cs="Times New Roman"/>
              </w:rPr>
              <w:t>Year 1</w:t>
            </w:r>
            <w:r w:rsidRPr="00AF7AB1">
              <w:rPr>
                <w:rFonts w:ascii="Times New Roman" w:hAnsi="Times New Roman" w:cs="Times New Roman"/>
              </w:rPr>
              <w:t xml:space="preserve"> revenue from parking operations = $30 million</w:t>
            </w:r>
          </w:p>
          <w:p w:rsidR="00C82F66" w:rsidRPr="00AF7AB1" w:rsidRDefault="00C82F66" w:rsidP="00C82F66">
            <w:pPr>
              <w:pStyle w:val="ListParagraph"/>
              <w:numPr>
                <w:ilvl w:val="0"/>
                <w:numId w:val="5"/>
              </w:numPr>
              <w:spacing w:before="0"/>
              <w:ind w:left="360" w:firstLine="0"/>
              <w:rPr>
                <w:rFonts w:ascii="Times New Roman" w:hAnsi="Times New Roman" w:cs="Times New Roman"/>
                <w:sz w:val="20"/>
                <w:szCs w:val="20"/>
              </w:rPr>
            </w:pPr>
            <w:r w:rsidRPr="00AF7AB1">
              <w:rPr>
                <w:rFonts w:ascii="Times New Roman" w:hAnsi="Times New Roman" w:cs="Times New Roman"/>
                <w:sz w:val="20"/>
                <w:szCs w:val="20"/>
              </w:rPr>
              <w:t xml:space="preserve">Parking </w:t>
            </w:r>
            <w:r>
              <w:rPr>
                <w:rFonts w:ascii="Times New Roman" w:hAnsi="Times New Roman" w:cs="Times New Roman"/>
                <w:sz w:val="20"/>
                <w:szCs w:val="20"/>
              </w:rPr>
              <w:t xml:space="preserve">revenues (from all sources) </w:t>
            </w:r>
            <w:r w:rsidRPr="00AF7AB1">
              <w:rPr>
                <w:rFonts w:ascii="Times New Roman" w:hAnsi="Times New Roman" w:cs="Times New Roman"/>
                <w:sz w:val="20"/>
                <w:szCs w:val="20"/>
              </w:rPr>
              <w:t>increase by 5.5%  for years 1-10; 4% thereafter</w:t>
            </w:r>
          </w:p>
          <w:p w:rsidR="00C82F66" w:rsidRPr="0073312B" w:rsidRDefault="00C82F66" w:rsidP="00C82F66">
            <w:pPr>
              <w:pStyle w:val="FootnoteText"/>
              <w:numPr>
                <w:ilvl w:val="0"/>
                <w:numId w:val="5"/>
              </w:numPr>
              <w:rPr>
                <w:rFonts w:ascii="Times New Roman" w:hAnsi="Times New Roman" w:cs="Times New Roman"/>
              </w:rPr>
            </w:pPr>
            <w:r>
              <w:rPr>
                <w:rFonts w:ascii="Times New Roman" w:hAnsi="Times New Roman" w:cs="Times New Roman"/>
              </w:rPr>
              <w:t>Year 1</w:t>
            </w:r>
            <w:r w:rsidRPr="00AF7AB1">
              <w:rPr>
                <w:rFonts w:ascii="Times New Roman" w:hAnsi="Times New Roman" w:cs="Times New Roman"/>
              </w:rPr>
              <w:t xml:space="preserve"> operating expenses = $9 million</w:t>
            </w:r>
          </w:p>
          <w:p w:rsidR="00C82F66" w:rsidRDefault="00C82F66" w:rsidP="00C82F66">
            <w:pPr>
              <w:pStyle w:val="FootnoteText"/>
              <w:numPr>
                <w:ilvl w:val="0"/>
                <w:numId w:val="5"/>
              </w:numPr>
              <w:rPr>
                <w:rFonts w:ascii="Times New Roman" w:hAnsi="Times New Roman" w:cs="Times New Roman"/>
              </w:rPr>
            </w:pPr>
            <w:r>
              <w:rPr>
                <w:rFonts w:ascii="Times New Roman" w:hAnsi="Times New Roman" w:cs="Times New Roman"/>
              </w:rPr>
              <w:t>University operating expenses = 100% of operator operating expenses for all years</w:t>
            </w:r>
          </w:p>
          <w:p w:rsidR="00C82F66" w:rsidRDefault="00C82F66" w:rsidP="00C82F66">
            <w:pPr>
              <w:pStyle w:val="FootnoteText"/>
              <w:numPr>
                <w:ilvl w:val="0"/>
                <w:numId w:val="5"/>
              </w:numPr>
              <w:rPr>
                <w:rFonts w:ascii="Times New Roman" w:hAnsi="Times New Roman" w:cs="Times New Roman"/>
              </w:rPr>
            </w:pPr>
            <w:r w:rsidRPr="00AF7AB1">
              <w:rPr>
                <w:rFonts w:ascii="Times New Roman" w:hAnsi="Times New Roman" w:cs="Times New Roman"/>
              </w:rPr>
              <w:t>Capital expenditures are the same for the University and the operator</w:t>
            </w:r>
          </w:p>
          <w:p w:rsidR="00C82F66" w:rsidRPr="00C82F66" w:rsidRDefault="00C82F66" w:rsidP="00C82F66">
            <w:pPr>
              <w:pStyle w:val="FootnoteText"/>
              <w:numPr>
                <w:ilvl w:val="0"/>
                <w:numId w:val="5"/>
              </w:numPr>
              <w:rPr>
                <w:rFonts w:ascii="Times New Roman" w:hAnsi="Times New Roman" w:cs="Times New Roman"/>
              </w:rPr>
            </w:pPr>
            <w:r>
              <w:rPr>
                <w:rFonts w:ascii="Times New Roman" w:hAnsi="Times New Roman" w:cs="Times New Roman"/>
              </w:rPr>
              <w:t>Inflation = 3.3% per year</w:t>
            </w:r>
          </w:p>
        </w:tc>
      </w:tr>
    </w:tbl>
    <w:p w:rsidR="00C7549B" w:rsidRDefault="00C7549B" w:rsidP="00AD3A0F">
      <w:pPr>
        <w:spacing w:before="0"/>
        <w:ind w:left="0" w:firstLine="0"/>
        <w:rPr>
          <w:rFonts w:ascii="Times New Roman" w:hAnsi="Times New Roman" w:cs="Times New Roman"/>
          <w:sz w:val="24"/>
          <w:szCs w:val="24"/>
        </w:rPr>
      </w:pPr>
    </w:p>
    <w:p w:rsidR="00C7549B" w:rsidRDefault="00342308" w:rsidP="00AD3A0F">
      <w:pPr>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Case </w:t>
      </w:r>
      <w:r w:rsidR="000E7AFE">
        <w:rPr>
          <w:rFonts w:ascii="Times New Roman" w:hAnsi="Times New Roman" w:cs="Times New Roman"/>
          <w:sz w:val="24"/>
          <w:szCs w:val="24"/>
        </w:rPr>
        <w:t>H</w:t>
      </w:r>
      <w:r>
        <w:rPr>
          <w:rFonts w:ascii="Times New Roman" w:hAnsi="Times New Roman" w:cs="Times New Roman"/>
          <w:sz w:val="24"/>
          <w:szCs w:val="24"/>
        </w:rPr>
        <w:t xml:space="preserve"> is based on a distribution rate of 5% per year.  Relative to Case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presented in Table 1, the University would increase the amount of cash distributed from $17 million to $20 million in </w:t>
      </w:r>
      <w:r>
        <w:rPr>
          <w:rFonts w:ascii="Times New Roman" w:hAnsi="Times New Roman" w:cs="Times New Roman"/>
          <w:sz w:val="24"/>
          <w:szCs w:val="24"/>
        </w:rPr>
        <w:lastRenderedPageBreak/>
        <w:t xml:space="preserve">year 1.  By increasing the distribution rate, the University can vary the </w:t>
      </w:r>
      <w:r w:rsidR="00C82F66">
        <w:rPr>
          <w:rFonts w:ascii="Times New Roman" w:hAnsi="Times New Roman" w:cs="Times New Roman"/>
          <w:sz w:val="24"/>
          <w:szCs w:val="24"/>
        </w:rPr>
        <w:t>non-parking</w:t>
      </w:r>
      <w:r>
        <w:rPr>
          <w:rFonts w:ascii="Times New Roman" w:hAnsi="Times New Roman" w:cs="Times New Roman"/>
          <w:sz w:val="24"/>
          <w:szCs w:val="24"/>
        </w:rPr>
        <w:t xml:space="preserve"> cash to support other activities.  Note, however, that increasing cash distributions reduces the value of the LTIP at the end of 50 years by $1,229 million ($2,843 instead of $4,072).  In addition, the total cash distributed over 50 years is reduced by $232 million ($3,053 instead of $3,285).  </w:t>
      </w:r>
      <w:r w:rsidR="00B507FC">
        <w:rPr>
          <w:rFonts w:ascii="Times New Roman" w:hAnsi="Times New Roman" w:cs="Times New Roman"/>
          <w:sz w:val="24"/>
          <w:szCs w:val="24"/>
        </w:rPr>
        <w:t xml:space="preserve">Cases </w:t>
      </w:r>
      <w:r w:rsidR="00566CB3">
        <w:rPr>
          <w:rFonts w:ascii="Times New Roman" w:hAnsi="Times New Roman" w:cs="Times New Roman"/>
          <w:sz w:val="24"/>
          <w:szCs w:val="24"/>
        </w:rPr>
        <w:t>I</w:t>
      </w:r>
      <w:r w:rsidR="00B507FC">
        <w:rPr>
          <w:rFonts w:ascii="Times New Roman" w:hAnsi="Times New Roman" w:cs="Times New Roman"/>
          <w:sz w:val="24"/>
          <w:szCs w:val="24"/>
        </w:rPr>
        <w:t xml:space="preserve"> and </w:t>
      </w:r>
      <w:r w:rsidR="00566CB3">
        <w:rPr>
          <w:rFonts w:ascii="Times New Roman" w:hAnsi="Times New Roman" w:cs="Times New Roman"/>
          <w:sz w:val="24"/>
          <w:szCs w:val="24"/>
        </w:rPr>
        <w:t>J</w:t>
      </w:r>
      <w:r w:rsidR="00B507FC">
        <w:rPr>
          <w:rFonts w:ascii="Times New Roman" w:hAnsi="Times New Roman" w:cs="Times New Roman"/>
          <w:sz w:val="24"/>
          <w:szCs w:val="24"/>
        </w:rPr>
        <w:t xml:space="preserve"> present qualitatively similar results.  In case </w:t>
      </w:r>
      <w:r w:rsidR="00566CB3">
        <w:rPr>
          <w:rFonts w:ascii="Times New Roman" w:hAnsi="Times New Roman" w:cs="Times New Roman"/>
          <w:sz w:val="24"/>
          <w:szCs w:val="24"/>
        </w:rPr>
        <w:t>I</w:t>
      </w:r>
      <w:r w:rsidR="00B507FC">
        <w:rPr>
          <w:rFonts w:ascii="Times New Roman" w:hAnsi="Times New Roman" w:cs="Times New Roman"/>
          <w:sz w:val="24"/>
          <w:szCs w:val="24"/>
        </w:rPr>
        <w:t xml:space="preserve">, the amount of cash distributed each year is the amount of cash that would be generated if the University </w:t>
      </w:r>
      <w:r w:rsidR="00BF5C8A">
        <w:rPr>
          <w:rFonts w:ascii="Times New Roman" w:hAnsi="Times New Roman" w:cs="Times New Roman"/>
          <w:sz w:val="24"/>
          <w:szCs w:val="24"/>
        </w:rPr>
        <w:t>manages</w:t>
      </w:r>
      <w:r w:rsidR="00B507FC">
        <w:rPr>
          <w:rFonts w:ascii="Times New Roman" w:hAnsi="Times New Roman" w:cs="Times New Roman"/>
          <w:sz w:val="24"/>
          <w:szCs w:val="24"/>
        </w:rPr>
        <w:t xml:space="preserve"> parking operations.  In case </w:t>
      </w:r>
      <w:r w:rsidR="00566CB3">
        <w:rPr>
          <w:rFonts w:ascii="Times New Roman" w:hAnsi="Times New Roman" w:cs="Times New Roman"/>
          <w:sz w:val="24"/>
          <w:szCs w:val="24"/>
        </w:rPr>
        <w:t>J</w:t>
      </w:r>
      <w:r w:rsidR="00B507FC">
        <w:rPr>
          <w:rFonts w:ascii="Times New Roman" w:hAnsi="Times New Roman" w:cs="Times New Roman"/>
          <w:sz w:val="24"/>
          <w:szCs w:val="24"/>
        </w:rPr>
        <w:t xml:space="preserve">, the amount of cash distributed </w:t>
      </w:r>
      <w:r w:rsidR="00C82F66">
        <w:rPr>
          <w:rFonts w:ascii="Times New Roman" w:hAnsi="Times New Roman" w:cs="Times New Roman"/>
          <w:sz w:val="24"/>
          <w:szCs w:val="24"/>
        </w:rPr>
        <w:t xml:space="preserve">each year </w:t>
      </w:r>
      <w:r w:rsidR="00B507FC">
        <w:rPr>
          <w:rFonts w:ascii="Times New Roman" w:hAnsi="Times New Roman" w:cs="Times New Roman"/>
          <w:sz w:val="24"/>
          <w:szCs w:val="24"/>
        </w:rPr>
        <w:t xml:space="preserve">is </w:t>
      </w:r>
      <w:r w:rsidR="00C82F66">
        <w:rPr>
          <w:rFonts w:ascii="Times New Roman" w:hAnsi="Times New Roman" w:cs="Times New Roman"/>
          <w:sz w:val="24"/>
          <w:szCs w:val="24"/>
        </w:rPr>
        <w:t xml:space="preserve">the amount paid for non-parking activities in year 1 increased annually </w:t>
      </w:r>
      <w:r w:rsidR="00BF5C8A">
        <w:rPr>
          <w:rFonts w:ascii="Times New Roman" w:hAnsi="Times New Roman" w:cs="Times New Roman"/>
          <w:sz w:val="24"/>
          <w:szCs w:val="24"/>
        </w:rPr>
        <w:t>at the inflation rate</w:t>
      </w:r>
      <w:r w:rsidR="00C82F66">
        <w:rPr>
          <w:rFonts w:ascii="Times New Roman" w:hAnsi="Times New Roman" w:cs="Times New Roman"/>
          <w:sz w:val="24"/>
          <w:szCs w:val="24"/>
        </w:rPr>
        <w:t>.</w:t>
      </w:r>
      <w:r w:rsidR="00B507FC">
        <w:rPr>
          <w:rFonts w:ascii="Times New Roman" w:hAnsi="Times New Roman" w:cs="Times New Roman"/>
          <w:sz w:val="24"/>
          <w:szCs w:val="24"/>
        </w:rPr>
        <w:t xml:space="preserve">  Any additional amounts of cash generated are assumed to be invested in the University’s LTIP.  Note that, while the amounts of the ending LTIP </w:t>
      </w:r>
      <w:r w:rsidR="00043FAD">
        <w:rPr>
          <w:rFonts w:ascii="Times New Roman" w:hAnsi="Times New Roman" w:cs="Times New Roman"/>
          <w:sz w:val="24"/>
          <w:szCs w:val="24"/>
        </w:rPr>
        <w:t>v</w:t>
      </w:r>
      <w:r w:rsidR="00B507FC">
        <w:rPr>
          <w:rFonts w:ascii="Times New Roman" w:hAnsi="Times New Roman" w:cs="Times New Roman"/>
          <w:sz w:val="24"/>
          <w:szCs w:val="24"/>
        </w:rPr>
        <w:t xml:space="preserve">ary across these examples, the ordering of </w:t>
      </w:r>
      <w:r w:rsidR="00043FAD">
        <w:rPr>
          <w:rFonts w:ascii="Times New Roman" w:hAnsi="Times New Roman" w:cs="Times New Roman"/>
          <w:sz w:val="24"/>
          <w:szCs w:val="24"/>
        </w:rPr>
        <w:t>ending LTIP value, and therefore the alternative that would provide greater financial benefits for the University, is unchanged.  Of course, while the examples in table 2 indicate that the external lease alternative is preferred, different parameters can lead to an opposite implication.  But for any parameterization, the implied alternative to select will be consistent across possible</w:t>
      </w:r>
      <w:r w:rsidR="00BF5C8A">
        <w:rPr>
          <w:rFonts w:ascii="Times New Roman" w:hAnsi="Times New Roman" w:cs="Times New Roman"/>
          <w:sz w:val="24"/>
          <w:szCs w:val="24"/>
        </w:rPr>
        <w:t xml:space="preserve"> </w:t>
      </w:r>
      <w:r w:rsidR="00043FAD">
        <w:rPr>
          <w:rFonts w:ascii="Times New Roman" w:hAnsi="Times New Roman" w:cs="Times New Roman"/>
          <w:sz w:val="24"/>
          <w:szCs w:val="24"/>
        </w:rPr>
        <w:t>cash distribution patterns.</w:t>
      </w:r>
    </w:p>
    <w:p w:rsidR="00566CB3" w:rsidRDefault="00566CB3" w:rsidP="00AD3A0F">
      <w:pPr>
        <w:spacing w:before="0"/>
        <w:ind w:left="0" w:firstLine="0"/>
        <w:rPr>
          <w:rFonts w:ascii="Times New Roman" w:hAnsi="Times New Roman" w:cs="Times New Roman"/>
          <w:sz w:val="24"/>
          <w:szCs w:val="24"/>
          <w:u w:val="single"/>
        </w:rPr>
      </w:pPr>
    </w:p>
    <w:p w:rsidR="00AD3A0F" w:rsidRPr="007874C7" w:rsidRDefault="00AD3A0F" w:rsidP="00AD3A0F">
      <w:pPr>
        <w:spacing w:before="0"/>
        <w:ind w:left="0" w:firstLine="0"/>
        <w:rPr>
          <w:rFonts w:ascii="Times New Roman" w:hAnsi="Times New Roman" w:cs="Times New Roman"/>
          <w:sz w:val="24"/>
          <w:szCs w:val="24"/>
          <w:u w:val="single"/>
        </w:rPr>
      </w:pPr>
      <w:r w:rsidRPr="007874C7">
        <w:rPr>
          <w:rFonts w:ascii="Times New Roman" w:hAnsi="Times New Roman" w:cs="Times New Roman"/>
          <w:sz w:val="24"/>
          <w:szCs w:val="24"/>
          <w:u w:val="single"/>
        </w:rPr>
        <w:t>Conclusion</w:t>
      </w:r>
    </w:p>
    <w:p w:rsidR="00AD3A0F" w:rsidRDefault="00AD3A0F" w:rsidP="00AD3A0F">
      <w:pPr>
        <w:spacing w:before="0"/>
        <w:ind w:left="0" w:firstLine="0"/>
        <w:rPr>
          <w:rFonts w:ascii="Times New Roman" w:hAnsi="Times New Roman" w:cs="Times New Roman"/>
          <w:sz w:val="24"/>
          <w:szCs w:val="24"/>
        </w:rPr>
      </w:pPr>
    </w:p>
    <w:p w:rsidR="007716A6" w:rsidRDefault="00AD3A0F" w:rsidP="007716A6">
      <w:pPr>
        <w:spacing w:before="0"/>
        <w:ind w:left="0" w:firstLine="0"/>
        <w:rPr>
          <w:rFonts w:ascii="Times New Roman" w:hAnsi="Times New Roman" w:cs="Times New Roman"/>
          <w:sz w:val="24"/>
          <w:szCs w:val="24"/>
        </w:rPr>
      </w:pPr>
      <w:r>
        <w:rPr>
          <w:rFonts w:ascii="Times New Roman" w:hAnsi="Times New Roman" w:cs="Times New Roman"/>
          <w:sz w:val="24"/>
          <w:szCs w:val="24"/>
        </w:rPr>
        <w:t>The decision to lease the</w:t>
      </w:r>
      <w:r w:rsidR="00BF5C8A">
        <w:rPr>
          <w:rFonts w:ascii="Times New Roman" w:hAnsi="Times New Roman" w:cs="Times New Roman"/>
          <w:sz w:val="24"/>
          <w:szCs w:val="24"/>
        </w:rPr>
        <w:t xml:space="preserve"> University’s</w:t>
      </w:r>
      <w:r>
        <w:rPr>
          <w:rFonts w:ascii="Times New Roman" w:hAnsi="Times New Roman" w:cs="Times New Roman"/>
          <w:sz w:val="24"/>
          <w:szCs w:val="24"/>
        </w:rPr>
        <w:t xml:space="preserve"> parking facilities to an external operator </w:t>
      </w:r>
      <w:r w:rsidR="002A2DEC">
        <w:rPr>
          <w:rFonts w:ascii="Times New Roman" w:hAnsi="Times New Roman" w:cs="Times New Roman"/>
          <w:sz w:val="24"/>
          <w:szCs w:val="24"/>
        </w:rPr>
        <w:t xml:space="preserve">or to operate the parking facilities internally </w:t>
      </w:r>
      <w:r>
        <w:rPr>
          <w:rFonts w:ascii="Times New Roman" w:hAnsi="Times New Roman" w:cs="Times New Roman"/>
          <w:sz w:val="24"/>
          <w:szCs w:val="24"/>
        </w:rPr>
        <w:t xml:space="preserve">is complex because there are many factors to consider.  </w:t>
      </w:r>
      <w:r w:rsidR="002A2DEC">
        <w:rPr>
          <w:rFonts w:ascii="Times New Roman" w:hAnsi="Times New Roman" w:cs="Times New Roman"/>
          <w:sz w:val="24"/>
          <w:szCs w:val="24"/>
        </w:rPr>
        <w:t>One measure that can be used to compare the financial impact of the leasing decision to the University is the balance in the long-term investment portfolio at the end of 50 years.  By holding annual cash flows for non-parking activities constant across the external-lease and internal-operation alternatives, the alternative with a larger balance in the long-term investment portfolio at the end of 50 years provides more financial benefits to the University.  This result is unaffected by the amount of cash that the University uses for non-parking activities.  While t</w:t>
      </w:r>
      <w:r w:rsidR="00043FAD">
        <w:rPr>
          <w:rFonts w:ascii="Times New Roman" w:hAnsi="Times New Roman" w:cs="Times New Roman"/>
          <w:sz w:val="24"/>
          <w:szCs w:val="24"/>
        </w:rPr>
        <w:t xml:space="preserve">his </w:t>
      </w:r>
      <w:r>
        <w:rPr>
          <w:rFonts w:ascii="Times New Roman" w:hAnsi="Times New Roman" w:cs="Times New Roman"/>
          <w:sz w:val="24"/>
          <w:szCs w:val="24"/>
        </w:rPr>
        <w:t>analysis</w:t>
      </w:r>
      <w:r w:rsidR="007716A6">
        <w:rPr>
          <w:rFonts w:ascii="Times New Roman" w:hAnsi="Times New Roman" w:cs="Times New Roman"/>
          <w:sz w:val="24"/>
          <w:szCs w:val="24"/>
        </w:rPr>
        <w:t xml:space="preserve"> does not</w:t>
      </w:r>
      <w:r>
        <w:rPr>
          <w:rFonts w:ascii="Times New Roman" w:hAnsi="Times New Roman" w:cs="Times New Roman"/>
          <w:sz w:val="24"/>
          <w:szCs w:val="24"/>
        </w:rPr>
        <w:t xml:space="preserve"> </w:t>
      </w:r>
      <w:r w:rsidR="007716A6">
        <w:rPr>
          <w:rFonts w:ascii="Times New Roman" w:hAnsi="Times New Roman" w:cs="Times New Roman"/>
          <w:sz w:val="24"/>
          <w:szCs w:val="24"/>
        </w:rPr>
        <w:t>consider other factors such as performance metrics that also bear on the decision</w:t>
      </w:r>
      <w:r w:rsidR="002A2DEC">
        <w:rPr>
          <w:rFonts w:ascii="Times New Roman" w:hAnsi="Times New Roman" w:cs="Times New Roman"/>
          <w:sz w:val="24"/>
          <w:szCs w:val="24"/>
        </w:rPr>
        <w:t>, it</w:t>
      </w:r>
      <w:r w:rsidR="00E94B6D">
        <w:rPr>
          <w:rFonts w:ascii="Times New Roman" w:hAnsi="Times New Roman" w:cs="Times New Roman"/>
          <w:sz w:val="24"/>
          <w:szCs w:val="24"/>
        </w:rPr>
        <w:t xml:space="preserve"> provides an appropriate framework to d</w:t>
      </w:r>
      <w:r w:rsidR="00BF5C8A">
        <w:rPr>
          <w:rFonts w:ascii="Times New Roman" w:hAnsi="Times New Roman" w:cs="Times New Roman"/>
          <w:sz w:val="24"/>
          <w:szCs w:val="24"/>
        </w:rPr>
        <w:t>iscuss financial considerations of the proposal to lease parking operations to an external operator.</w:t>
      </w:r>
    </w:p>
    <w:p w:rsidR="00AD3A0F" w:rsidRDefault="00AD3A0F" w:rsidP="00AD3A0F">
      <w:pPr>
        <w:spacing w:before="0"/>
        <w:ind w:left="0" w:firstLine="0"/>
        <w:rPr>
          <w:rFonts w:ascii="Times New Roman" w:hAnsi="Times New Roman" w:cs="Times New Roman"/>
          <w:sz w:val="24"/>
          <w:szCs w:val="24"/>
        </w:rPr>
      </w:pPr>
    </w:p>
    <w:p w:rsidR="00AD3A0F" w:rsidRDefault="00AD3A0F" w:rsidP="00AD3A0F">
      <w:pPr>
        <w:spacing w:before="0"/>
        <w:ind w:left="0" w:firstLine="0"/>
        <w:rPr>
          <w:rFonts w:ascii="Times New Roman" w:hAnsi="Times New Roman" w:cs="Times New Roman"/>
          <w:sz w:val="24"/>
          <w:szCs w:val="24"/>
        </w:rPr>
      </w:pPr>
    </w:p>
    <w:p w:rsidR="00A55748" w:rsidRDefault="00A55748"/>
    <w:sectPr w:rsidR="00A55748" w:rsidSect="00A557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78" w:rsidRDefault="00412978" w:rsidP="00AD3A0F">
      <w:pPr>
        <w:spacing w:before="0"/>
      </w:pPr>
      <w:r>
        <w:separator/>
      </w:r>
    </w:p>
  </w:endnote>
  <w:endnote w:type="continuationSeparator" w:id="0">
    <w:p w:rsidR="00412978" w:rsidRDefault="00412978" w:rsidP="00AD3A0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159894"/>
      <w:docPartObj>
        <w:docPartGallery w:val="Page Numbers (Bottom of Page)"/>
        <w:docPartUnique/>
      </w:docPartObj>
    </w:sdtPr>
    <w:sdtContent>
      <w:p w:rsidR="000E7AFE" w:rsidRDefault="005D4405">
        <w:pPr>
          <w:pStyle w:val="Footer"/>
          <w:jc w:val="center"/>
        </w:pPr>
        <w:r w:rsidRPr="00106205">
          <w:rPr>
            <w:rFonts w:ascii="Times New Roman" w:hAnsi="Times New Roman" w:cs="Times New Roman"/>
          </w:rPr>
          <w:fldChar w:fldCharType="begin"/>
        </w:r>
        <w:r w:rsidR="000E7AFE" w:rsidRPr="00106205">
          <w:rPr>
            <w:rFonts w:ascii="Times New Roman" w:hAnsi="Times New Roman" w:cs="Times New Roman"/>
          </w:rPr>
          <w:instrText xml:space="preserve"> PAGE   \* MERGEFORMAT </w:instrText>
        </w:r>
        <w:r w:rsidRPr="00106205">
          <w:rPr>
            <w:rFonts w:ascii="Times New Roman" w:hAnsi="Times New Roman" w:cs="Times New Roman"/>
          </w:rPr>
          <w:fldChar w:fldCharType="separate"/>
        </w:r>
        <w:r w:rsidR="001B4829">
          <w:rPr>
            <w:rFonts w:ascii="Times New Roman" w:hAnsi="Times New Roman" w:cs="Times New Roman"/>
            <w:noProof/>
          </w:rPr>
          <w:t>6</w:t>
        </w:r>
        <w:r w:rsidRPr="00106205">
          <w:rPr>
            <w:rFonts w:ascii="Times New Roman" w:hAnsi="Times New Roman" w:cs="Times New Roman"/>
          </w:rPr>
          <w:fldChar w:fldCharType="end"/>
        </w:r>
      </w:p>
    </w:sdtContent>
  </w:sdt>
  <w:p w:rsidR="000E7AFE" w:rsidRDefault="000E7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78" w:rsidRDefault="00412978" w:rsidP="00AD3A0F">
      <w:pPr>
        <w:spacing w:before="0"/>
      </w:pPr>
      <w:r>
        <w:separator/>
      </w:r>
    </w:p>
  </w:footnote>
  <w:footnote w:type="continuationSeparator" w:id="0">
    <w:p w:rsidR="00412978" w:rsidRDefault="00412978" w:rsidP="00AD3A0F">
      <w:pPr>
        <w:spacing w:before="0"/>
      </w:pPr>
      <w:r>
        <w:continuationSeparator/>
      </w:r>
    </w:p>
  </w:footnote>
  <w:footnote w:id="1">
    <w:p w:rsidR="000E7AFE" w:rsidRPr="00264FDE" w:rsidRDefault="000E7AFE" w:rsidP="00264FDE">
      <w:pPr>
        <w:pStyle w:val="FootnoteText"/>
        <w:ind w:left="360"/>
        <w:rPr>
          <w:rFonts w:ascii="Times New Roman" w:hAnsi="Times New Roman" w:cs="Times New Roman"/>
        </w:rPr>
      </w:pPr>
      <w:r w:rsidRPr="00B93580">
        <w:rPr>
          <w:rStyle w:val="FootnoteReference"/>
          <w:rFonts w:ascii="Times New Roman" w:hAnsi="Times New Roman" w:cs="Times New Roman"/>
        </w:rPr>
        <w:footnoteRef/>
      </w:r>
      <w:r w:rsidRPr="00B93580">
        <w:rPr>
          <w:rFonts w:ascii="Times New Roman" w:hAnsi="Times New Roman" w:cs="Times New Roman"/>
        </w:rPr>
        <w:t xml:space="preserve"> </w:t>
      </w:r>
      <w:r w:rsidRPr="00B93580">
        <w:rPr>
          <w:rFonts w:ascii="Times New Roman" w:hAnsi="Times New Roman" w:cs="Times New Roman"/>
        </w:rPr>
        <w:tab/>
        <w:t xml:space="preserve">Dietrich, J. Richard and Anil Makhija, “An Analysis of Certain Aspects of the OSU Proposal to Lease Parking Operations.”  April 12, 2012.  See:  </w:t>
      </w:r>
      <w:hyperlink r:id="rId1" w:history="1">
        <w:r w:rsidRPr="00B93580">
          <w:rPr>
            <w:rStyle w:val="Hyperlink"/>
            <w:rFonts w:ascii="Times New Roman" w:hAnsi="Times New Roman" w:cs="Times New Roman"/>
          </w:rPr>
          <w:t>http://senate.osu.edu/parking/DMAnalysisParking.pdf</w:t>
        </w:r>
      </w:hyperlink>
      <w:r>
        <w:rPr>
          <w:rFonts w:ascii="Times New Roman" w:hAnsi="Times New Roman" w:cs="Times New Roman"/>
        </w:rPr>
        <w:t xml:space="preserve"> </w:t>
      </w:r>
    </w:p>
  </w:footnote>
  <w:footnote w:id="2">
    <w:p w:rsidR="000E7AFE" w:rsidRPr="00264FDE" w:rsidRDefault="000E7AFE" w:rsidP="00264FDE">
      <w:pPr>
        <w:pStyle w:val="FootnoteText"/>
        <w:ind w:left="360"/>
        <w:rPr>
          <w:rFonts w:ascii="Times New Roman" w:hAnsi="Times New Roman" w:cs="Times New Roman"/>
        </w:rPr>
      </w:pPr>
      <w:r w:rsidRPr="00264FDE">
        <w:rPr>
          <w:rStyle w:val="FootnoteReference"/>
          <w:rFonts w:ascii="Times New Roman" w:hAnsi="Times New Roman" w:cs="Times New Roman"/>
        </w:rPr>
        <w:footnoteRef/>
      </w:r>
      <w:r w:rsidRPr="00264FDE">
        <w:rPr>
          <w:rFonts w:ascii="Times New Roman" w:hAnsi="Times New Roman" w:cs="Times New Roman"/>
        </w:rPr>
        <w:t xml:space="preserve"> </w:t>
      </w:r>
      <w:r w:rsidRPr="00264FDE">
        <w:rPr>
          <w:rFonts w:ascii="Times New Roman" w:hAnsi="Times New Roman" w:cs="Times New Roman"/>
        </w:rPr>
        <w:tab/>
        <w:t>To obtain a copy of the spreadsheet, please e-mail dietrich@fisher.osu.edu.</w:t>
      </w:r>
    </w:p>
  </w:footnote>
  <w:footnote w:id="3">
    <w:p w:rsidR="000E7AFE" w:rsidRPr="007A635C" w:rsidRDefault="000E7AFE" w:rsidP="00300704">
      <w:pPr>
        <w:pStyle w:val="FootnoteText"/>
        <w:ind w:left="360"/>
        <w:rPr>
          <w:rFonts w:ascii="Times New Roman" w:hAnsi="Times New Roman" w:cs="Times New Roman"/>
        </w:rPr>
      </w:pPr>
      <w:r w:rsidRPr="007A635C">
        <w:rPr>
          <w:rStyle w:val="FootnoteReference"/>
          <w:rFonts w:ascii="Times New Roman" w:hAnsi="Times New Roman" w:cs="Times New Roman"/>
        </w:rPr>
        <w:footnoteRef/>
      </w:r>
      <w:r w:rsidRPr="007A635C">
        <w:rPr>
          <w:rFonts w:ascii="Times New Roman" w:hAnsi="Times New Roman" w:cs="Times New Roman"/>
        </w:rPr>
        <w:t xml:space="preserve"> </w:t>
      </w:r>
      <w:r w:rsidRPr="007A635C">
        <w:rPr>
          <w:rFonts w:ascii="Times New Roman" w:hAnsi="Times New Roman" w:cs="Times New Roman"/>
        </w:rPr>
        <w:tab/>
        <w:t xml:space="preserve">Although some activities, such as CABS or debt-service, might be characterized as parking activities, amounts paid for these activities can be generated using either the external lease alternative or the internal operation alternative.  </w:t>
      </w:r>
    </w:p>
  </w:footnote>
  <w:footnote w:id="4">
    <w:p w:rsidR="000E7AFE" w:rsidRPr="00567FB0" w:rsidRDefault="000E7AFE" w:rsidP="00DB3B36">
      <w:pPr>
        <w:pStyle w:val="FootnoteText"/>
        <w:ind w:left="360"/>
        <w:rPr>
          <w:rFonts w:ascii="Times New Roman" w:hAnsi="Times New Roman" w:cs="Times New Roman"/>
        </w:rPr>
      </w:pPr>
      <w:r w:rsidRPr="00567FB0">
        <w:rPr>
          <w:rStyle w:val="FootnoteReference"/>
          <w:rFonts w:ascii="Times New Roman" w:hAnsi="Times New Roman" w:cs="Times New Roman"/>
        </w:rPr>
        <w:footnoteRef/>
      </w:r>
      <w:r w:rsidRPr="00567FB0">
        <w:rPr>
          <w:rFonts w:ascii="Times New Roman" w:hAnsi="Times New Roman" w:cs="Times New Roman"/>
        </w:rPr>
        <w:t xml:space="preserve"> </w:t>
      </w:r>
      <w:r w:rsidRPr="00567FB0">
        <w:rPr>
          <w:rFonts w:ascii="Times New Roman" w:hAnsi="Times New Roman" w:cs="Times New Roman"/>
        </w:rPr>
        <w:tab/>
        <w:t>This analysis assumes that the University receives only the bid amount, B, and not any amounts in later periods.  The analysis also assumes that the University makes no payments to the operator.  Finally, the analysis assumes that the lease agreement is not terminated prior to the end of the assumed 50-year lease term.</w:t>
      </w:r>
    </w:p>
  </w:footnote>
  <w:footnote w:id="5">
    <w:p w:rsidR="000E7AFE" w:rsidRPr="00567FB0" w:rsidRDefault="000E7AFE" w:rsidP="00567FB0">
      <w:pPr>
        <w:pStyle w:val="FootnoteText"/>
        <w:ind w:left="360"/>
        <w:rPr>
          <w:rFonts w:ascii="Times New Roman" w:hAnsi="Times New Roman" w:cs="Times New Roman"/>
        </w:rPr>
      </w:pPr>
      <w:r w:rsidRPr="00567FB0">
        <w:rPr>
          <w:rStyle w:val="FootnoteReference"/>
          <w:rFonts w:ascii="Times New Roman" w:hAnsi="Times New Roman" w:cs="Times New Roman"/>
        </w:rPr>
        <w:footnoteRef/>
      </w:r>
      <w:r w:rsidRPr="00567FB0">
        <w:rPr>
          <w:rFonts w:ascii="Times New Roman" w:hAnsi="Times New Roman" w:cs="Times New Roman"/>
        </w:rPr>
        <w:t xml:space="preserve"> </w:t>
      </w:r>
      <w:r w:rsidRPr="00567FB0">
        <w:rPr>
          <w:rFonts w:ascii="Times New Roman" w:hAnsi="Times New Roman" w:cs="Times New Roman"/>
        </w:rPr>
        <w:tab/>
        <w:t>B should be reduced by any lease-related expenses paid by the University at lease inception.</w:t>
      </w:r>
    </w:p>
  </w:footnote>
  <w:footnote w:id="6">
    <w:p w:rsidR="000E7AFE" w:rsidRPr="00CF38AA" w:rsidRDefault="000E7AFE" w:rsidP="002D6009">
      <w:pPr>
        <w:pStyle w:val="FootnoteText"/>
        <w:ind w:left="360"/>
        <w:rPr>
          <w:rFonts w:ascii="Times New Roman" w:hAnsi="Times New Roman" w:cs="Times New Roman"/>
        </w:rPr>
      </w:pPr>
      <w:r w:rsidRPr="00CF38AA">
        <w:rPr>
          <w:rStyle w:val="FootnoteReference"/>
          <w:rFonts w:ascii="Times New Roman" w:hAnsi="Times New Roman" w:cs="Times New Roman"/>
        </w:rPr>
        <w:footnoteRef/>
      </w:r>
      <w:r w:rsidRPr="00CF38AA">
        <w:rPr>
          <w:rFonts w:ascii="Times New Roman" w:hAnsi="Times New Roman" w:cs="Times New Roman"/>
        </w:rPr>
        <w:t xml:space="preserve"> </w:t>
      </w:r>
      <w:r w:rsidRPr="00CF38AA">
        <w:rPr>
          <w:rFonts w:ascii="Times New Roman" w:hAnsi="Times New Roman" w:cs="Times New Roman"/>
        </w:rPr>
        <w:tab/>
        <w:t xml:space="preserve">To be consistent in modeling, the </w:t>
      </w:r>
      <w:r>
        <w:rPr>
          <w:rFonts w:ascii="Times New Roman" w:hAnsi="Times New Roman" w:cs="Times New Roman"/>
        </w:rPr>
        <w:t xml:space="preserve">assumed </w:t>
      </w:r>
      <w:r w:rsidR="00C800B4">
        <w:rPr>
          <w:rFonts w:ascii="Times New Roman" w:hAnsi="Times New Roman" w:cs="Times New Roman"/>
        </w:rPr>
        <w:t xml:space="preserve">intra-year </w:t>
      </w:r>
      <w:r>
        <w:rPr>
          <w:rFonts w:ascii="Times New Roman" w:hAnsi="Times New Roman" w:cs="Times New Roman"/>
        </w:rPr>
        <w:t xml:space="preserve">cash flow distribution pattern </w:t>
      </w:r>
      <w:r w:rsidRPr="00CF38AA">
        <w:rPr>
          <w:rFonts w:ascii="Times New Roman" w:hAnsi="Times New Roman" w:cs="Times New Roman"/>
        </w:rPr>
        <w:t>should be consistent with cash flows from parking operations if OSU manages parking operations.</w:t>
      </w:r>
      <w:r>
        <w:rPr>
          <w:rFonts w:ascii="Times New Roman" w:hAnsi="Times New Roman" w:cs="Times New Roman"/>
        </w:rPr>
        <w:t xml:space="preserve">  In practice, the distribution pattern between the internal operation and external lease alternatives may be quite similar:  If the University operates the parking facilities, cash inflows and outflows are likely to occur roughly evenly throughout the year.  If the University leases the parking facilities, the income earned on the LTIP and expenditures made using LTIP distributions are likely to occur roughly evenly throughout the year.</w:t>
      </w:r>
    </w:p>
  </w:footnote>
  <w:footnote w:id="7">
    <w:p w:rsidR="00C800B4" w:rsidRPr="00C800B4" w:rsidRDefault="00C800B4" w:rsidP="00C800B4">
      <w:pPr>
        <w:pStyle w:val="FootnoteText"/>
        <w:ind w:left="360"/>
        <w:rPr>
          <w:rFonts w:ascii="Times New Roman" w:hAnsi="Times New Roman" w:cs="Times New Roman"/>
        </w:rPr>
      </w:pPr>
      <w:r w:rsidRPr="00C800B4">
        <w:rPr>
          <w:rStyle w:val="FootnoteReference"/>
          <w:rFonts w:ascii="Times New Roman" w:hAnsi="Times New Roman" w:cs="Times New Roman"/>
        </w:rPr>
        <w:footnoteRef/>
      </w:r>
      <w:r w:rsidRPr="00C800B4">
        <w:rPr>
          <w:rFonts w:ascii="Times New Roman" w:hAnsi="Times New Roman" w:cs="Times New Roman"/>
        </w:rPr>
        <w:t xml:space="preserve"> </w:t>
      </w:r>
      <w:r w:rsidRPr="00C800B4">
        <w:rPr>
          <w:rFonts w:ascii="Times New Roman" w:hAnsi="Times New Roman" w:cs="Times New Roman"/>
        </w:rPr>
        <w:tab/>
        <w:t>See “Effect of Annual Cash Flow Patterns” below for analysis using different cash distribution patterns.</w:t>
      </w:r>
    </w:p>
  </w:footnote>
  <w:footnote w:id="8">
    <w:p w:rsidR="006A5F9B" w:rsidRPr="006428B5" w:rsidRDefault="006A5F9B" w:rsidP="006A5F9B">
      <w:pPr>
        <w:pStyle w:val="FootnoteText"/>
        <w:ind w:left="360"/>
        <w:rPr>
          <w:rFonts w:ascii="Times New Roman" w:hAnsi="Times New Roman" w:cs="Times New Roman"/>
        </w:rPr>
      </w:pPr>
      <w:r w:rsidRPr="006428B5">
        <w:rPr>
          <w:rStyle w:val="FootnoteReference"/>
          <w:rFonts w:ascii="Times New Roman" w:hAnsi="Times New Roman" w:cs="Times New Roman"/>
        </w:rPr>
        <w:footnoteRef/>
      </w:r>
      <w:r w:rsidRPr="006428B5">
        <w:rPr>
          <w:rFonts w:ascii="Times New Roman" w:hAnsi="Times New Roman" w:cs="Times New Roman"/>
        </w:rPr>
        <w:t xml:space="preserve"> </w:t>
      </w:r>
      <w:r w:rsidR="006428B5">
        <w:rPr>
          <w:rFonts w:ascii="Times New Roman" w:hAnsi="Times New Roman" w:cs="Times New Roman"/>
        </w:rPr>
        <w:tab/>
      </w:r>
      <w:r w:rsidRPr="006428B5">
        <w:rPr>
          <w:rFonts w:ascii="Times New Roman" w:hAnsi="Times New Roman" w:cs="Times New Roman"/>
        </w:rPr>
        <w:t>Tuition rates shown are for the University of Iowa, in-state tuition, for an academic year</w:t>
      </w:r>
      <w:r w:rsidR="006428B5" w:rsidRPr="006428B5">
        <w:rPr>
          <w:rFonts w:ascii="Times New Roman" w:hAnsi="Times New Roman" w:cs="Times New Roman"/>
        </w:rPr>
        <w:t>.</w:t>
      </w:r>
    </w:p>
  </w:footnote>
  <w:footnote w:id="9">
    <w:p w:rsidR="006428B5" w:rsidRPr="006428B5" w:rsidRDefault="006428B5" w:rsidP="006428B5">
      <w:pPr>
        <w:pStyle w:val="FootnoteText"/>
        <w:ind w:left="360"/>
        <w:rPr>
          <w:rFonts w:ascii="Times New Roman" w:hAnsi="Times New Roman" w:cs="Times New Roman"/>
        </w:rPr>
      </w:pPr>
      <w:r w:rsidRPr="006428B5">
        <w:rPr>
          <w:rStyle w:val="FootnoteReference"/>
          <w:rFonts w:ascii="Times New Roman" w:hAnsi="Times New Roman" w:cs="Times New Roman"/>
        </w:rPr>
        <w:footnoteRef/>
      </w:r>
      <w:r w:rsidRPr="006428B5">
        <w:rPr>
          <w:rFonts w:ascii="Times New Roman" w:hAnsi="Times New Roman" w:cs="Times New Roman"/>
        </w:rPr>
        <w:t xml:space="preserve"> </w:t>
      </w:r>
      <w:r w:rsidRPr="006428B5">
        <w:rPr>
          <w:rFonts w:ascii="Times New Roman" w:hAnsi="Times New Roman" w:cs="Times New Roman"/>
        </w:rPr>
        <w:tab/>
        <w:t>Salary shown is 9-mo</w:t>
      </w:r>
      <w:r>
        <w:rPr>
          <w:rFonts w:ascii="Times New Roman" w:hAnsi="Times New Roman" w:cs="Times New Roman"/>
        </w:rPr>
        <w:t>n</w:t>
      </w:r>
      <w:r w:rsidRPr="006428B5">
        <w:rPr>
          <w:rFonts w:ascii="Times New Roman" w:hAnsi="Times New Roman" w:cs="Times New Roman"/>
        </w:rPr>
        <w:t>th salary of a faculty member at the rank of professor at Ohio University</w:t>
      </w:r>
      <w:r w:rsidR="00C800B4">
        <w:rPr>
          <w:rFonts w:ascii="Times New Roman" w:hAnsi="Times New Roman" w:cs="Times New Roman"/>
        </w:rPr>
        <w:t>.</w:t>
      </w:r>
    </w:p>
  </w:footnote>
  <w:footnote w:id="10">
    <w:p w:rsidR="006428B5" w:rsidRPr="006428B5" w:rsidRDefault="006428B5" w:rsidP="006428B5">
      <w:pPr>
        <w:pStyle w:val="FootnoteText"/>
        <w:ind w:left="360"/>
        <w:rPr>
          <w:rFonts w:ascii="Times New Roman" w:hAnsi="Times New Roman" w:cs="Times New Roman"/>
        </w:rPr>
      </w:pPr>
      <w:r w:rsidRPr="006428B5">
        <w:rPr>
          <w:rStyle w:val="FootnoteReference"/>
          <w:rFonts w:ascii="Times New Roman" w:hAnsi="Times New Roman" w:cs="Times New Roman"/>
        </w:rPr>
        <w:footnoteRef/>
      </w:r>
      <w:r w:rsidRPr="006428B5">
        <w:rPr>
          <w:rFonts w:ascii="Times New Roman" w:hAnsi="Times New Roman" w:cs="Times New Roman"/>
        </w:rPr>
        <w:t xml:space="preserve"> </w:t>
      </w:r>
      <w:r w:rsidRPr="006428B5">
        <w:rPr>
          <w:rFonts w:ascii="Times New Roman" w:hAnsi="Times New Roman" w:cs="Times New Roman"/>
        </w:rPr>
        <w:tab/>
      </w:r>
      <w:proofErr w:type="gramStart"/>
      <w:r w:rsidRPr="006428B5">
        <w:rPr>
          <w:rFonts w:ascii="Times New Roman" w:hAnsi="Times New Roman" w:cs="Times New Roman"/>
        </w:rPr>
        <w:t>Based on recollection of a senior faculty member at Ohio State.</w:t>
      </w:r>
      <w:proofErr w:type="gramEnd"/>
    </w:p>
  </w:footnote>
  <w:footnote w:id="11">
    <w:p w:rsidR="006428B5" w:rsidRPr="006428B5" w:rsidRDefault="006428B5" w:rsidP="006428B5">
      <w:pPr>
        <w:pStyle w:val="FootnoteText"/>
        <w:ind w:left="360"/>
        <w:rPr>
          <w:rFonts w:ascii="Times New Roman" w:hAnsi="Times New Roman" w:cs="Times New Roman"/>
        </w:rPr>
      </w:pPr>
      <w:r w:rsidRPr="006428B5">
        <w:rPr>
          <w:rStyle w:val="FootnoteReference"/>
          <w:rFonts w:ascii="Times New Roman" w:hAnsi="Times New Roman" w:cs="Times New Roman"/>
        </w:rPr>
        <w:footnoteRef/>
      </w:r>
      <w:r w:rsidRPr="006428B5">
        <w:rPr>
          <w:rFonts w:ascii="Times New Roman" w:hAnsi="Times New Roman" w:cs="Times New Roman"/>
        </w:rPr>
        <w:t xml:space="preserve"> </w:t>
      </w:r>
      <w:r w:rsidRPr="006428B5">
        <w:rPr>
          <w:rFonts w:ascii="Times New Roman" w:hAnsi="Times New Roman" w:cs="Times New Roman"/>
        </w:rPr>
        <w:tab/>
      </w:r>
      <w:r w:rsidR="00657C0D">
        <w:rPr>
          <w:rFonts w:ascii="Times New Roman" w:hAnsi="Times New Roman" w:cs="Times New Roman"/>
        </w:rPr>
        <w:t>The index excludes the effect of dividends.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FE" w:rsidRPr="00E07D49" w:rsidRDefault="000E7AFE" w:rsidP="00E07D49">
    <w:pPr>
      <w:pStyle w:val="Header"/>
      <w:ind w:left="360"/>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9E6"/>
    <w:multiLevelType w:val="hybridMultilevel"/>
    <w:tmpl w:val="4A82D9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91E55"/>
    <w:multiLevelType w:val="hybridMultilevel"/>
    <w:tmpl w:val="6BB6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14325"/>
    <w:multiLevelType w:val="hybridMultilevel"/>
    <w:tmpl w:val="488C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34B10"/>
    <w:multiLevelType w:val="hybridMultilevel"/>
    <w:tmpl w:val="B054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7121F"/>
    <w:multiLevelType w:val="hybridMultilevel"/>
    <w:tmpl w:val="E5D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3A0F"/>
    <w:rsid w:val="00034D12"/>
    <w:rsid w:val="000350CB"/>
    <w:rsid w:val="00043FAD"/>
    <w:rsid w:val="000671DF"/>
    <w:rsid w:val="000760E6"/>
    <w:rsid w:val="00076B68"/>
    <w:rsid w:val="00092E84"/>
    <w:rsid w:val="000B5849"/>
    <w:rsid w:val="000E7126"/>
    <w:rsid w:val="000E7AFE"/>
    <w:rsid w:val="0010431C"/>
    <w:rsid w:val="00106205"/>
    <w:rsid w:val="00155F5D"/>
    <w:rsid w:val="001750E7"/>
    <w:rsid w:val="001A01BD"/>
    <w:rsid w:val="001B4829"/>
    <w:rsid w:val="001D0458"/>
    <w:rsid w:val="001F3CD0"/>
    <w:rsid w:val="00236771"/>
    <w:rsid w:val="002456E8"/>
    <w:rsid w:val="00263A17"/>
    <w:rsid w:val="00264FDE"/>
    <w:rsid w:val="002A2DEC"/>
    <w:rsid w:val="002A3264"/>
    <w:rsid w:val="002D5C71"/>
    <w:rsid w:val="002D6009"/>
    <w:rsid w:val="00300704"/>
    <w:rsid w:val="0032192B"/>
    <w:rsid w:val="00342308"/>
    <w:rsid w:val="00363710"/>
    <w:rsid w:val="00380E10"/>
    <w:rsid w:val="003A3DB9"/>
    <w:rsid w:val="003B4E6F"/>
    <w:rsid w:val="00412978"/>
    <w:rsid w:val="004451C3"/>
    <w:rsid w:val="00464B36"/>
    <w:rsid w:val="004E6B5E"/>
    <w:rsid w:val="00566CB3"/>
    <w:rsid w:val="00567FB0"/>
    <w:rsid w:val="00596860"/>
    <w:rsid w:val="005B375E"/>
    <w:rsid w:val="005C4A0B"/>
    <w:rsid w:val="005D4405"/>
    <w:rsid w:val="005E53F6"/>
    <w:rsid w:val="006428B5"/>
    <w:rsid w:val="00657C0D"/>
    <w:rsid w:val="006706D2"/>
    <w:rsid w:val="006A5EDF"/>
    <w:rsid w:val="006A5F9B"/>
    <w:rsid w:val="006B2A4D"/>
    <w:rsid w:val="006D2E98"/>
    <w:rsid w:val="006D76CE"/>
    <w:rsid w:val="0071286F"/>
    <w:rsid w:val="0072159C"/>
    <w:rsid w:val="00727A27"/>
    <w:rsid w:val="0073312B"/>
    <w:rsid w:val="00756AAC"/>
    <w:rsid w:val="007716A6"/>
    <w:rsid w:val="00791CD4"/>
    <w:rsid w:val="00792ED9"/>
    <w:rsid w:val="007A48C4"/>
    <w:rsid w:val="007A635C"/>
    <w:rsid w:val="007D4BF2"/>
    <w:rsid w:val="00832055"/>
    <w:rsid w:val="00856BB7"/>
    <w:rsid w:val="00883A7B"/>
    <w:rsid w:val="008926B1"/>
    <w:rsid w:val="00894124"/>
    <w:rsid w:val="008B44AB"/>
    <w:rsid w:val="008C2BCB"/>
    <w:rsid w:val="00932699"/>
    <w:rsid w:val="009A6D33"/>
    <w:rsid w:val="009B08CE"/>
    <w:rsid w:val="00A031C2"/>
    <w:rsid w:val="00A2797D"/>
    <w:rsid w:val="00A32F3B"/>
    <w:rsid w:val="00A50583"/>
    <w:rsid w:val="00A55748"/>
    <w:rsid w:val="00A74FD8"/>
    <w:rsid w:val="00A83A71"/>
    <w:rsid w:val="00A97107"/>
    <w:rsid w:val="00AD3A0F"/>
    <w:rsid w:val="00AF7AB1"/>
    <w:rsid w:val="00B507FC"/>
    <w:rsid w:val="00B5248E"/>
    <w:rsid w:val="00B75174"/>
    <w:rsid w:val="00B93580"/>
    <w:rsid w:val="00BA6256"/>
    <w:rsid w:val="00BB0A0E"/>
    <w:rsid w:val="00BC50DD"/>
    <w:rsid w:val="00BD5A26"/>
    <w:rsid w:val="00BE4E24"/>
    <w:rsid w:val="00BF5C8A"/>
    <w:rsid w:val="00BF64B1"/>
    <w:rsid w:val="00C25A5C"/>
    <w:rsid w:val="00C50A02"/>
    <w:rsid w:val="00C617F9"/>
    <w:rsid w:val="00C6313C"/>
    <w:rsid w:val="00C7549B"/>
    <w:rsid w:val="00C800B4"/>
    <w:rsid w:val="00C82F66"/>
    <w:rsid w:val="00CF2A20"/>
    <w:rsid w:val="00CF38AA"/>
    <w:rsid w:val="00D11A05"/>
    <w:rsid w:val="00D233C5"/>
    <w:rsid w:val="00DB3B36"/>
    <w:rsid w:val="00DC4B88"/>
    <w:rsid w:val="00DC5277"/>
    <w:rsid w:val="00DC5E9D"/>
    <w:rsid w:val="00DE46BB"/>
    <w:rsid w:val="00E01CE3"/>
    <w:rsid w:val="00E03937"/>
    <w:rsid w:val="00E07D49"/>
    <w:rsid w:val="00E17552"/>
    <w:rsid w:val="00E2369D"/>
    <w:rsid w:val="00E94B6D"/>
    <w:rsid w:val="00EB2942"/>
    <w:rsid w:val="00F01386"/>
    <w:rsid w:val="00F54621"/>
    <w:rsid w:val="00F87094"/>
    <w:rsid w:val="00FC1D8B"/>
    <w:rsid w:val="00FF5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0F"/>
    <w:pPr>
      <w:spacing w:before="120" w:after="0" w:line="240" w:lineRule="auto"/>
      <w:ind w:left="108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3A0F"/>
    <w:pPr>
      <w:spacing w:before="0"/>
    </w:pPr>
    <w:rPr>
      <w:sz w:val="20"/>
      <w:szCs w:val="20"/>
    </w:rPr>
  </w:style>
  <w:style w:type="character" w:customStyle="1" w:styleId="FootnoteTextChar">
    <w:name w:val="Footnote Text Char"/>
    <w:basedOn w:val="DefaultParagraphFont"/>
    <w:link w:val="FootnoteText"/>
    <w:uiPriority w:val="99"/>
    <w:rsid w:val="00AD3A0F"/>
    <w:rPr>
      <w:sz w:val="20"/>
      <w:szCs w:val="20"/>
    </w:rPr>
  </w:style>
  <w:style w:type="character" w:styleId="FootnoteReference">
    <w:name w:val="footnote reference"/>
    <w:basedOn w:val="DefaultParagraphFont"/>
    <w:uiPriority w:val="99"/>
    <w:semiHidden/>
    <w:unhideWhenUsed/>
    <w:rsid w:val="00AD3A0F"/>
    <w:rPr>
      <w:vertAlign w:val="superscript"/>
    </w:rPr>
  </w:style>
  <w:style w:type="paragraph" w:styleId="ListParagraph">
    <w:name w:val="List Paragraph"/>
    <w:basedOn w:val="Normal"/>
    <w:uiPriority w:val="34"/>
    <w:qFormat/>
    <w:rsid w:val="00AD3A0F"/>
    <w:pPr>
      <w:ind w:left="720"/>
      <w:contextualSpacing/>
    </w:pPr>
  </w:style>
  <w:style w:type="paragraph" w:styleId="BalloonText">
    <w:name w:val="Balloon Text"/>
    <w:basedOn w:val="Normal"/>
    <w:link w:val="BalloonTextChar"/>
    <w:uiPriority w:val="99"/>
    <w:semiHidden/>
    <w:unhideWhenUsed/>
    <w:rsid w:val="00AD3A0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0F"/>
    <w:rPr>
      <w:rFonts w:ascii="Tahoma" w:hAnsi="Tahoma" w:cs="Tahoma"/>
      <w:sz w:val="16"/>
      <w:szCs w:val="16"/>
    </w:rPr>
  </w:style>
  <w:style w:type="paragraph" w:styleId="Header">
    <w:name w:val="header"/>
    <w:basedOn w:val="Normal"/>
    <w:link w:val="HeaderChar"/>
    <w:uiPriority w:val="99"/>
    <w:unhideWhenUsed/>
    <w:rsid w:val="00BD5A26"/>
    <w:pPr>
      <w:tabs>
        <w:tab w:val="center" w:pos="4680"/>
        <w:tab w:val="right" w:pos="9360"/>
      </w:tabs>
      <w:spacing w:before="0"/>
    </w:pPr>
  </w:style>
  <w:style w:type="character" w:customStyle="1" w:styleId="HeaderChar">
    <w:name w:val="Header Char"/>
    <w:basedOn w:val="DefaultParagraphFont"/>
    <w:link w:val="Header"/>
    <w:uiPriority w:val="99"/>
    <w:rsid w:val="00BD5A26"/>
  </w:style>
  <w:style w:type="paragraph" w:styleId="Footer">
    <w:name w:val="footer"/>
    <w:basedOn w:val="Normal"/>
    <w:link w:val="FooterChar"/>
    <w:uiPriority w:val="99"/>
    <w:unhideWhenUsed/>
    <w:rsid w:val="00BD5A26"/>
    <w:pPr>
      <w:tabs>
        <w:tab w:val="center" w:pos="4680"/>
        <w:tab w:val="right" w:pos="9360"/>
      </w:tabs>
      <w:spacing w:before="0"/>
    </w:pPr>
  </w:style>
  <w:style w:type="character" w:customStyle="1" w:styleId="FooterChar">
    <w:name w:val="Footer Char"/>
    <w:basedOn w:val="DefaultParagraphFont"/>
    <w:link w:val="Footer"/>
    <w:uiPriority w:val="99"/>
    <w:rsid w:val="00BD5A26"/>
  </w:style>
  <w:style w:type="character" w:styleId="CommentReference">
    <w:name w:val="annotation reference"/>
    <w:basedOn w:val="DefaultParagraphFont"/>
    <w:uiPriority w:val="99"/>
    <w:semiHidden/>
    <w:unhideWhenUsed/>
    <w:rsid w:val="008C2BCB"/>
    <w:rPr>
      <w:sz w:val="16"/>
      <w:szCs w:val="16"/>
    </w:rPr>
  </w:style>
  <w:style w:type="paragraph" w:styleId="CommentText">
    <w:name w:val="annotation text"/>
    <w:basedOn w:val="Normal"/>
    <w:link w:val="CommentTextChar"/>
    <w:uiPriority w:val="99"/>
    <w:semiHidden/>
    <w:unhideWhenUsed/>
    <w:rsid w:val="008C2BCB"/>
    <w:rPr>
      <w:sz w:val="20"/>
      <w:szCs w:val="20"/>
    </w:rPr>
  </w:style>
  <w:style w:type="character" w:customStyle="1" w:styleId="CommentTextChar">
    <w:name w:val="Comment Text Char"/>
    <w:basedOn w:val="DefaultParagraphFont"/>
    <w:link w:val="CommentText"/>
    <w:uiPriority w:val="99"/>
    <w:semiHidden/>
    <w:rsid w:val="008C2BCB"/>
    <w:rPr>
      <w:sz w:val="20"/>
      <w:szCs w:val="20"/>
    </w:rPr>
  </w:style>
  <w:style w:type="paragraph" w:styleId="CommentSubject">
    <w:name w:val="annotation subject"/>
    <w:basedOn w:val="CommentText"/>
    <w:next w:val="CommentText"/>
    <w:link w:val="CommentSubjectChar"/>
    <w:uiPriority w:val="99"/>
    <w:semiHidden/>
    <w:unhideWhenUsed/>
    <w:rsid w:val="008C2BCB"/>
    <w:rPr>
      <w:b/>
      <w:bCs/>
    </w:rPr>
  </w:style>
  <w:style w:type="character" w:customStyle="1" w:styleId="CommentSubjectChar">
    <w:name w:val="Comment Subject Char"/>
    <w:basedOn w:val="CommentTextChar"/>
    <w:link w:val="CommentSubject"/>
    <w:uiPriority w:val="99"/>
    <w:semiHidden/>
    <w:rsid w:val="008C2BCB"/>
    <w:rPr>
      <w:b/>
      <w:bCs/>
      <w:sz w:val="20"/>
      <w:szCs w:val="20"/>
    </w:rPr>
  </w:style>
  <w:style w:type="character" w:styleId="Hyperlink">
    <w:name w:val="Hyperlink"/>
    <w:basedOn w:val="DefaultParagraphFont"/>
    <w:uiPriority w:val="99"/>
    <w:unhideWhenUsed/>
    <w:rsid w:val="00B93580"/>
    <w:rPr>
      <w:color w:val="0000FF" w:themeColor="hyperlink"/>
      <w:u w:val="single"/>
    </w:rPr>
  </w:style>
  <w:style w:type="table" w:styleId="TableGrid">
    <w:name w:val="Table Grid"/>
    <w:basedOn w:val="TableNormal"/>
    <w:uiPriority w:val="59"/>
    <w:rsid w:val="0089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0F"/>
    <w:pPr>
      <w:spacing w:before="120" w:after="0" w:line="240" w:lineRule="auto"/>
      <w:ind w:left="108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3A0F"/>
    <w:pPr>
      <w:spacing w:before="0"/>
    </w:pPr>
    <w:rPr>
      <w:sz w:val="20"/>
      <w:szCs w:val="20"/>
    </w:rPr>
  </w:style>
  <w:style w:type="character" w:customStyle="1" w:styleId="FootnoteTextChar">
    <w:name w:val="Footnote Text Char"/>
    <w:basedOn w:val="DefaultParagraphFont"/>
    <w:link w:val="FootnoteText"/>
    <w:uiPriority w:val="99"/>
    <w:rsid w:val="00AD3A0F"/>
    <w:rPr>
      <w:sz w:val="20"/>
      <w:szCs w:val="20"/>
    </w:rPr>
  </w:style>
  <w:style w:type="character" w:styleId="FootnoteReference">
    <w:name w:val="footnote reference"/>
    <w:basedOn w:val="DefaultParagraphFont"/>
    <w:uiPriority w:val="99"/>
    <w:semiHidden/>
    <w:unhideWhenUsed/>
    <w:rsid w:val="00AD3A0F"/>
    <w:rPr>
      <w:vertAlign w:val="superscript"/>
    </w:rPr>
  </w:style>
  <w:style w:type="paragraph" w:styleId="ListParagraph">
    <w:name w:val="List Paragraph"/>
    <w:basedOn w:val="Normal"/>
    <w:uiPriority w:val="34"/>
    <w:qFormat/>
    <w:rsid w:val="00AD3A0F"/>
    <w:pPr>
      <w:ind w:left="720"/>
      <w:contextualSpacing/>
    </w:pPr>
  </w:style>
  <w:style w:type="paragraph" w:styleId="BalloonText">
    <w:name w:val="Balloon Text"/>
    <w:basedOn w:val="Normal"/>
    <w:link w:val="BalloonTextChar"/>
    <w:uiPriority w:val="99"/>
    <w:semiHidden/>
    <w:unhideWhenUsed/>
    <w:rsid w:val="00AD3A0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0F"/>
    <w:rPr>
      <w:rFonts w:ascii="Tahoma" w:hAnsi="Tahoma" w:cs="Tahoma"/>
      <w:sz w:val="16"/>
      <w:szCs w:val="16"/>
    </w:rPr>
  </w:style>
  <w:style w:type="paragraph" w:styleId="Header">
    <w:name w:val="header"/>
    <w:basedOn w:val="Normal"/>
    <w:link w:val="HeaderChar"/>
    <w:uiPriority w:val="99"/>
    <w:unhideWhenUsed/>
    <w:rsid w:val="00BD5A26"/>
    <w:pPr>
      <w:tabs>
        <w:tab w:val="center" w:pos="4680"/>
        <w:tab w:val="right" w:pos="9360"/>
      </w:tabs>
      <w:spacing w:before="0"/>
    </w:pPr>
  </w:style>
  <w:style w:type="character" w:customStyle="1" w:styleId="HeaderChar">
    <w:name w:val="Header Char"/>
    <w:basedOn w:val="DefaultParagraphFont"/>
    <w:link w:val="Header"/>
    <w:uiPriority w:val="99"/>
    <w:rsid w:val="00BD5A26"/>
  </w:style>
  <w:style w:type="paragraph" w:styleId="Footer">
    <w:name w:val="footer"/>
    <w:basedOn w:val="Normal"/>
    <w:link w:val="FooterChar"/>
    <w:uiPriority w:val="99"/>
    <w:unhideWhenUsed/>
    <w:rsid w:val="00BD5A26"/>
    <w:pPr>
      <w:tabs>
        <w:tab w:val="center" w:pos="4680"/>
        <w:tab w:val="right" w:pos="9360"/>
      </w:tabs>
      <w:spacing w:before="0"/>
    </w:pPr>
  </w:style>
  <w:style w:type="character" w:customStyle="1" w:styleId="FooterChar">
    <w:name w:val="Footer Char"/>
    <w:basedOn w:val="DefaultParagraphFont"/>
    <w:link w:val="Footer"/>
    <w:uiPriority w:val="99"/>
    <w:rsid w:val="00BD5A26"/>
  </w:style>
  <w:style w:type="character" w:styleId="CommentReference">
    <w:name w:val="annotation reference"/>
    <w:basedOn w:val="DefaultParagraphFont"/>
    <w:uiPriority w:val="99"/>
    <w:semiHidden/>
    <w:unhideWhenUsed/>
    <w:rsid w:val="008C2BCB"/>
    <w:rPr>
      <w:sz w:val="16"/>
      <w:szCs w:val="16"/>
    </w:rPr>
  </w:style>
  <w:style w:type="paragraph" w:styleId="CommentText">
    <w:name w:val="annotation text"/>
    <w:basedOn w:val="Normal"/>
    <w:link w:val="CommentTextChar"/>
    <w:uiPriority w:val="99"/>
    <w:semiHidden/>
    <w:unhideWhenUsed/>
    <w:rsid w:val="008C2BCB"/>
    <w:rPr>
      <w:sz w:val="20"/>
      <w:szCs w:val="20"/>
    </w:rPr>
  </w:style>
  <w:style w:type="character" w:customStyle="1" w:styleId="CommentTextChar">
    <w:name w:val="Comment Text Char"/>
    <w:basedOn w:val="DefaultParagraphFont"/>
    <w:link w:val="CommentText"/>
    <w:uiPriority w:val="99"/>
    <w:semiHidden/>
    <w:rsid w:val="008C2BCB"/>
    <w:rPr>
      <w:sz w:val="20"/>
      <w:szCs w:val="20"/>
    </w:rPr>
  </w:style>
  <w:style w:type="paragraph" w:styleId="CommentSubject">
    <w:name w:val="annotation subject"/>
    <w:basedOn w:val="CommentText"/>
    <w:next w:val="CommentText"/>
    <w:link w:val="CommentSubjectChar"/>
    <w:uiPriority w:val="99"/>
    <w:semiHidden/>
    <w:unhideWhenUsed/>
    <w:rsid w:val="008C2BCB"/>
    <w:rPr>
      <w:b/>
      <w:bCs/>
    </w:rPr>
  </w:style>
  <w:style w:type="character" w:customStyle="1" w:styleId="CommentSubjectChar">
    <w:name w:val="Comment Subject Char"/>
    <w:basedOn w:val="CommentTextChar"/>
    <w:link w:val="CommentSubject"/>
    <w:uiPriority w:val="99"/>
    <w:semiHidden/>
    <w:rsid w:val="008C2BCB"/>
    <w:rPr>
      <w:b/>
      <w:bCs/>
      <w:sz w:val="20"/>
      <w:szCs w:val="20"/>
    </w:rPr>
  </w:style>
  <w:style w:type="character" w:styleId="Hyperlink">
    <w:name w:val="Hyperlink"/>
    <w:basedOn w:val="DefaultParagraphFont"/>
    <w:uiPriority w:val="99"/>
    <w:unhideWhenUsed/>
    <w:rsid w:val="00B93580"/>
    <w:rPr>
      <w:color w:val="0000FF" w:themeColor="hyperlink"/>
      <w:u w:val="single"/>
    </w:rPr>
  </w:style>
  <w:style w:type="table" w:styleId="TableGrid">
    <w:name w:val="Table Grid"/>
    <w:basedOn w:val="TableNormal"/>
    <w:uiPriority w:val="59"/>
    <w:rsid w:val="0089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ate.osu.edu/parking/DMAnalysisPar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251B-1563-4211-AA1B-203C55C8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2012-05-30T12:53:00Z</cp:lastPrinted>
  <dcterms:created xsi:type="dcterms:W3CDTF">2012-05-30T12:54:00Z</dcterms:created>
  <dcterms:modified xsi:type="dcterms:W3CDTF">2012-05-30T13:31:00Z</dcterms:modified>
</cp:coreProperties>
</file>