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81" w:rsidRDefault="00092161" w:rsidP="00477917">
      <w:pPr>
        <w:pBdr>
          <w:bottom w:val="single" w:sz="12" w:space="1" w:color="auto"/>
        </w:pBdr>
        <w:rPr>
          <w:b/>
          <w:bCs/>
          <w:color w:val="2860A4"/>
          <w:sz w:val="40"/>
          <w:szCs w:val="32"/>
        </w:rPr>
      </w:pPr>
      <w:r w:rsidRPr="00B401DD">
        <w:rPr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046E9D" wp14:editId="10145168">
            <wp:simplePos x="0" y="0"/>
            <wp:positionH relativeFrom="column">
              <wp:posOffset>526912</wp:posOffset>
            </wp:positionH>
            <wp:positionV relativeFrom="paragraph">
              <wp:posOffset>-586105</wp:posOffset>
            </wp:positionV>
            <wp:extent cx="4921250" cy="733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F01" w:rsidRPr="00773ADE" w:rsidRDefault="00B401DD" w:rsidP="003272E5">
      <w:pPr>
        <w:pBdr>
          <w:bottom w:val="single" w:sz="12" w:space="1" w:color="auto"/>
        </w:pBdr>
        <w:rPr>
          <w:b/>
          <w:bCs/>
          <w:color w:val="0070C0"/>
          <w:sz w:val="36"/>
          <w:szCs w:val="36"/>
        </w:rPr>
      </w:pPr>
      <w:r w:rsidRPr="00B401DD">
        <w:rPr>
          <w:b/>
          <w:bCs/>
          <w:color w:val="0070C0"/>
          <w:sz w:val="36"/>
          <w:szCs w:val="36"/>
        </w:rPr>
        <w:t xml:space="preserve">SBAR: </w:t>
      </w:r>
      <w:r w:rsidR="00773ADE">
        <w:rPr>
          <w:b/>
          <w:bCs/>
          <w:sz w:val="36"/>
          <w:szCs w:val="36"/>
        </w:rPr>
        <w:t>Surgical Specimen Test Orders</w:t>
      </w:r>
    </w:p>
    <w:p w:rsidR="000942E2" w:rsidRDefault="000942E2" w:rsidP="002530F9">
      <w:pPr>
        <w:rPr>
          <w:rFonts w:asciiTheme="minorHAnsi" w:hAnsiTheme="minorHAnsi"/>
          <w:b/>
          <w:bCs/>
          <w:color w:val="0070C0"/>
          <w:u w:val="single"/>
        </w:rPr>
      </w:pPr>
    </w:p>
    <w:p w:rsidR="002530F9" w:rsidRPr="00B401DD" w:rsidRDefault="002530F9" w:rsidP="004D07A4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B401DD">
        <w:rPr>
          <w:rFonts w:asciiTheme="minorHAnsi" w:hAnsiTheme="minorHAnsi"/>
          <w:b/>
          <w:bCs/>
          <w:sz w:val="24"/>
          <w:szCs w:val="24"/>
          <w:u w:val="single"/>
        </w:rPr>
        <w:t>Situation:</w:t>
      </w:r>
      <w:r w:rsidR="004A119A" w:rsidRPr="00B401DD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:rsidR="00773ADE" w:rsidRDefault="00773ADE" w:rsidP="004D07A4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Surgical specimens are being submitted for laboratory testing with absent or unclear orders. This has caused </w:t>
      </w:r>
      <w:r w:rsidR="00C867D8">
        <w:rPr>
          <w:rFonts w:asciiTheme="minorHAnsi" w:hAnsiTheme="minorHAnsi"/>
          <w:bCs/>
          <w:sz w:val="24"/>
          <w:szCs w:val="24"/>
        </w:rPr>
        <w:t xml:space="preserve">occasional </w:t>
      </w:r>
      <w:r>
        <w:rPr>
          <w:rFonts w:asciiTheme="minorHAnsi" w:hAnsiTheme="minorHAnsi"/>
          <w:bCs/>
          <w:sz w:val="24"/>
          <w:szCs w:val="24"/>
        </w:rPr>
        <w:t>delays</w:t>
      </w:r>
      <w:r w:rsidR="009179B1">
        <w:rPr>
          <w:rFonts w:asciiTheme="minorHAnsi" w:hAnsiTheme="minorHAnsi"/>
          <w:bCs/>
          <w:sz w:val="24"/>
          <w:szCs w:val="24"/>
        </w:rPr>
        <w:t xml:space="preserve"> </w:t>
      </w:r>
      <w:r w:rsidR="00C867D8">
        <w:rPr>
          <w:rFonts w:asciiTheme="minorHAnsi" w:hAnsiTheme="minorHAnsi"/>
          <w:bCs/>
          <w:sz w:val="24"/>
          <w:szCs w:val="24"/>
        </w:rPr>
        <w:t>and</w:t>
      </w:r>
      <w:r w:rsidR="009179B1">
        <w:rPr>
          <w:rFonts w:asciiTheme="minorHAnsi" w:hAnsiTheme="minorHAnsi"/>
          <w:bCs/>
          <w:sz w:val="24"/>
          <w:szCs w:val="24"/>
        </w:rPr>
        <w:t xml:space="preserve"> errors</w:t>
      </w:r>
      <w:r>
        <w:rPr>
          <w:rFonts w:asciiTheme="minorHAnsi" w:hAnsiTheme="minorHAnsi"/>
          <w:bCs/>
          <w:sz w:val="24"/>
          <w:szCs w:val="24"/>
        </w:rPr>
        <w:t xml:space="preserve"> in processing these </w:t>
      </w:r>
      <w:r w:rsidR="00C867D8">
        <w:rPr>
          <w:rFonts w:asciiTheme="minorHAnsi" w:hAnsiTheme="minorHAnsi"/>
          <w:bCs/>
          <w:sz w:val="24"/>
          <w:szCs w:val="24"/>
        </w:rPr>
        <w:t>important</w:t>
      </w:r>
      <w:r>
        <w:rPr>
          <w:rFonts w:asciiTheme="minorHAnsi" w:hAnsiTheme="minorHAnsi"/>
          <w:bCs/>
          <w:sz w:val="24"/>
          <w:szCs w:val="24"/>
        </w:rPr>
        <w:t xml:space="preserve"> and invasively collected specimens. </w:t>
      </w:r>
    </w:p>
    <w:p w:rsidR="00773ADE" w:rsidRDefault="00773ADE" w:rsidP="004D07A4">
      <w:pPr>
        <w:rPr>
          <w:rFonts w:asciiTheme="minorHAnsi" w:hAnsiTheme="minorHAnsi"/>
          <w:bCs/>
          <w:sz w:val="24"/>
          <w:szCs w:val="24"/>
        </w:rPr>
      </w:pPr>
    </w:p>
    <w:p w:rsidR="002530F9" w:rsidRPr="00B401DD" w:rsidRDefault="002530F9" w:rsidP="004D07A4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B401DD">
        <w:rPr>
          <w:rFonts w:asciiTheme="minorHAnsi" w:hAnsiTheme="minorHAnsi"/>
          <w:b/>
          <w:bCs/>
          <w:sz w:val="24"/>
          <w:szCs w:val="24"/>
          <w:u w:val="single"/>
        </w:rPr>
        <w:t>Background:</w:t>
      </w:r>
      <w:r w:rsidR="004A119A" w:rsidRPr="00B401DD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:rsidR="00C0134A" w:rsidRDefault="00C867D8" w:rsidP="004D07A4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There is significant variability in order entry tools and methods for surgical and invasively collected specimens. </w:t>
      </w:r>
      <w:r w:rsidR="00773ADE">
        <w:rPr>
          <w:rFonts w:asciiTheme="minorHAnsi" w:hAnsiTheme="minorHAnsi"/>
          <w:bCs/>
          <w:sz w:val="24"/>
          <w:szCs w:val="24"/>
        </w:rPr>
        <w:t xml:space="preserve">In addition to Epic </w:t>
      </w:r>
      <w:r>
        <w:rPr>
          <w:rFonts w:asciiTheme="minorHAnsi" w:hAnsiTheme="minorHAnsi"/>
          <w:bCs/>
          <w:sz w:val="24"/>
          <w:szCs w:val="24"/>
        </w:rPr>
        <w:t xml:space="preserve">electronic </w:t>
      </w:r>
      <w:r w:rsidR="00773ADE">
        <w:rPr>
          <w:rFonts w:asciiTheme="minorHAnsi" w:hAnsiTheme="minorHAnsi"/>
          <w:bCs/>
          <w:sz w:val="24"/>
          <w:szCs w:val="24"/>
        </w:rPr>
        <w:t xml:space="preserve">orders, there are also various hospital forms that are currently being used to submit specimens to the laboratory for pathology or other clinical laboratory testing. </w:t>
      </w:r>
    </w:p>
    <w:p w:rsidR="00773ADE" w:rsidRPr="00B401DD" w:rsidRDefault="00773ADE" w:rsidP="004D07A4">
      <w:pPr>
        <w:rPr>
          <w:rFonts w:asciiTheme="minorHAnsi" w:hAnsiTheme="minorHAnsi"/>
          <w:bCs/>
          <w:sz w:val="24"/>
          <w:szCs w:val="24"/>
        </w:rPr>
      </w:pPr>
    </w:p>
    <w:p w:rsidR="002530F9" w:rsidRPr="009179B1" w:rsidRDefault="002530F9" w:rsidP="004D07A4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9179B1">
        <w:rPr>
          <w:rFonts w:asciiTheme="minorHAnsi" w:hAnsiTheme="minorHAnsi"/>
          <w:b/>
          <w:bCs/>
          <w:sz w:val="24"/>
          <w:szCs w:val="24"/>
          <w:u w:val="single"/>
        </w:rPr>
        <w:t>Assessment:</w:t>
      </w:r>
      <w:r w:rsidR="004A119A" w:rsidRPr="009179B1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:rsidR="009179B1" w:rsidRPr="009179B1" w:rsidRDefault="009179B1" w:rsidP="00324C7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 mitigate patient safety risk</w:t>
      </w:r>
      <w:r w:rsidR="0035257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and </w:t>
      </w:r>
      <w:r w:rsidR="00352572">
        <w:rPr>
          <w:rFonts w:asciiTheme="minorHAnsi" w:hAnsiTheme="minorHAnsi"/>
          <w:sz w:val="24"/>
          <w:szCs w:val="24"/>
        </w:rPr>
        <w:t>eliminate variability in the process we will be limiting the acceptable formats for laboratory test requests</w:t>
      </w:r>
      <w:r w:rsidR="0051496A">
        <w:rPr>
          <w:rFonts w:asciiTheme="minorHAnsi" w:hAnsiTheme="minorHAnsi"/>
          <w:sz w:val="24"/>
          <w:szCs w:val="24"/>
        </w:rPr>
        <w:t xml:space="preserve"> on surgical and invasively collected specimens</w:t>
      </w:r>
      <w:r w:rsidR="00352572">
        <w:rPr>
          <w:rFonts w:asciiTheme="minorHAnsi" w:hAnsiTheme="minorHAnsi"/>
          <w:sz w:val="24"/>
          <w:szCs w:val="24"/>
        </w:rPr>
        <w:t xml:space="preserve">. </w:t>
      </w:r>
    </w:p>
    <w:p w:rsidR="00773ADE" w:rsidRPr="00B401DD" w:rsidRDefault="00773ADE" w:rsidP="004D07A4">
      <w:pPr>
        <w:rPr>
          <w:rFonts w:asciiTheme="minorHAnsi" w:hAnsiTheme="minorHAnsi"/>
          <w:bCs/>
          <w:sz w:val="24"/>
          <w:szCs w:val="24"/>
        </w:rPr>
      </w:pPr>
    </w:p>
    <w:p w:rsidR="002530F9" w:rsidRPr="00B401DD" w:rsidRDefault="002530F9" w:rsidP="004D07A4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B401DD">
        <w:rPr>
          <w:rFonts w:asciiTheme="minorHAnsi" w:hAnsiTheme="minorHAnsi"/>
          <w:b/>
          <w:bCs/>
          <w:sz w:val="24"/>
          <w:szCs w:val="24"/>
          <w:u w:val="single"/>
        </w:rPr>
        <w:t>Recommendation:</w:t>
      </w:r>
      <w:r w:rsidR="00852E89" w:rsidRPr="00B401DD">
        <w:rPr>
          <w:rFonts w:asciiTheme="minorHAnsi" w:hAnsiTheme="minorHAnsi"/>
          <w:b/>
          <w:bCs/>
          <w:sz w:val="24"/>
          <w:szCs w:val="24"/>
          <w:u w:val="single"/>
        </w:rPr>
        <w:t xml:space="preserve">  </w:t>
      </w:r>
    </w:p>
    <w:p w:rsidR="009179B1" w:rsidRPr="009179B1" w:rsidRDefault="009179B1" w:rsidP="009179B1">
      <w:pPr>
        <w:rPr>
          <w:rFonts w:asciiTheme="minorHAnsi" w:hAnsiTheme="minorHAnsi"/>
          <w:b/>
          <w:sz w:val="24"/>
          <w:szCs w:val="24"/>
        </w:rPr>
      </w:pPr>
      <w:r w:rsidRPr="009179B1">
        <w:rPr>
          <w:rFonts w:asciiTheme="minorHAnsi" w:hAnsiTheme="minorHAnsi"/>
          <w:b/>
          <w:sz w:val="24"/>
          <w:szCs w:val="24"/>
        </w:rPr>
        <w:t>Effective Tuesday, March 28th, valid test orders will only be accepted in one of the following formats:</w:t>
      </w:r>
    </w:p>
    <w:p w:rsidR="009179B1" w:rsidRPr="009179B1" w:rsidRDefault="009179B1" w:rsidP="009179B1">
      <w:pPr>
        <w:pStyle w:val="ListParagraph"/>
        <w:numPr>
          <w:ilvl w:val="0"/>
          <w:numId w:val="16"/>
        </w:num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9179B1">
        <w:rPr>
          <w:rFonts w:asciiTheme="minorHAnsi" w:hAnsiTheme="minorHAnsi"/>
          <w:b/>
          <w:sz w:val="24"/>
          <w:szCs w:val="24"/>
        </w:rPr>
        <w:t xml:space="preserve">Electronic orders in Epic with Collection Manager/Lab barcoded labels. </w:t>
      </w:r>
    </w:p>
    <w:p w:rsidR="009179B1" w:rsidRPr="009179B1" w:rsidRDefault="009179B1" w:rsidP="009179B1">
      <w:pPr>
        <w:pStyle w:val="ListParagraph"/>
        <w:numPr>
          <w:ilvl w:val="0"/>
          <w:numId w:val="16"/>
        </w:num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9179B1">
        <w:rPr>
          <w:rFonts w:asciiTheme="minorHAnsi" w:hAnsiTheme="minorHAnsi"/>
          <w:b/>
          <w:sz w:val="24"/>
          <w:szCs w:val="24"/>
        </w:rPr>
        <w:t>The specimen re</w:t>
      </w:r>
      <w:r w:rsidR="00BF473E">
        <w:rPr>
          <w:rFonts w:asciiTheme="minorHAnsi" w:hAnsiTheme="minorHAnsi"/>
          <w:b/>
          <w:sz w:val="24"/>
          <w:szCs w:val="24"/>
        </w:rPr>
        <w:t xml:space="preserve">quisition report from </w:t>
      </w:r>
      <w:proofErr w:type="spellStart"/>
      <w:r w:rsidR="00BF473E">
        <w:rPr>
          <w:rFonts w:asciiTheme="minorHAnsi" w:hAnsiTheme="minorHAnsi"/>
          <w:b/>
          <w:sz w:val="24"/>
          <w:szCs w:val="24"/>
        </w:rPr>
        <w:t>OpTime</w:t>
      </w:r>
      <w:proofErr w:type="spellEnd"/>
      <w:r w:rsidR="00BF473E">
        <w:rPr>
          <w:rFonts w:asciiTheme="minorHAnsi" w:hAnsiTheme="minorHAnsi"/>
          <w:b/>
          <w:sz w:val="24"/>
          <w:szCs w:val="24"/>
        </w:rPr>
        <w:t xml:space="preserve">.  </w:t>
      </w:r>
      <w:r w:rsidR="0051496A">
        <w:rPr>
          <w:rFonts w:asciiTheme="minorHAnsi" w:hAnsiTheme="minorHAnsi"/>
          <w:b/>
          <w:sz w:val="24"/>
          <w:szCs w:val="24"/>
        </w:rPr>
        <w:t>(</w:t>
      </w:r>
      <w:r w:rsidRPr="009179B1">
        <w:rPr>
          <w:rFonts w:asciiTheme="minorHAnsi" w:hAnsiTheme="minorHAnsi"/>
          <w:b/>
          <w:sz w:val="24"/>
          <w:szCs w:val="24"/>
        </w:rPr>
        <w:t>Note that any testing not ordered by the clinician during the case must be plac</w:t>
      </w:r>
      <w:r w:rsidR="008C3598">
        <w:rPr>
          <w:rFonts w:asciiTheme="minorHAnsi" w:hAnsiTheme="minorHAnsi"/>
          <w:b/>
          <w:sz w:val="24"/>
          <w:szCs w:val="24"/>
        </w:rPr>
        <w:t xml:space="preserve">ed in the </w:t>
      </w:r>
      <w:proofErr w:type="spellStart"/>
      <w:r w:rsidR="008C3598">
        <w:rPr>
          <w:rFonts w:asciiTheme="minorHAnsi" w:hAnsiTheme="minorHAnsi"/>
          <w:b/>
          <w:sz w:val="24"/>
          <w:szCs w:val="24"/>
        </w:rPr>
        <w:t>IntraOP</w:t>
      </w:r>
      <w:proofErr w:type="spellEnd"/>
      <w:r w:rsidR="008C3598">
        <w:rPr>
          <w:rFonts w:asciiTheme="minorHAnsi" w:hAnsiTheme="minorHAnsi"/>
          <w:b/>
          <w:sz w:val="24"/>
          <w:szCs w:val="24"/>
        </w:rPr>
        <w:t xml:space="preserve"> Phase of Care prior to the procedure</w:t>
      </w:r>
      <w:r w:rsidR="0051496A">
        <w:rPr>
          <w:rFonts w:asciiTheme="minorHAnsi" w:hAnsiTheme="minorHAnsi"/>
          <w:b/>
          <w:sz w:val="24"/>
          <w:szCs w:val="24"/>
        </w:rPr>
        <w:t>)</w:t>
      </w:r>
      <w:r w:rsidR="008C3598">
        <w:rPr>
          <w:rFonts w:asciiTheme="minorHAnsi" w:hAnsiTheme="minorHAnsi"/>
          <w:b/>
          <w:sz w:val="24"/>
          <w:szCs w:val="24"/>
        </w:rPr>
        <w:t>.</w:t>
      </w:r>
      <w:r w:rsidRPr="009179B1">
        <w:rPr>
          <w:rFonts w:asciiTheme="minorHAnsi" w:hAnsiTheme="minorHAnsi"/>
          <w:b/>
          <w:sz w:val="24"/>
          <w:szCs w:val="24"/>
        </w:rPr>
        <w:t xml:space="preserve"> </w:t>
      </w:r>
    </w:p>
    <w:p w:rsidR="008C3598" w:rsidRDefault="008C3598" w:rsidP="009179B1">
      <w:pPr>
        <w:pStyle w:val="ListParagraph"/>
        <w:numPr>
          <w:ilvl w:val="0"/>
          <w:numId w:val="16"/>
        </w:num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Two </w:t>
      </w:r>
      <w:r w:rsidR="0051496A">
        <w:rPr>
          <w:rFonts w:asciiTheme="minorHAnsi" w:hAnsiTheme="minorHAnsi"/>
          <w:b/>
          <w:sz w:val="24"/>
          <w:szCs w:val="24"/>
        </w:rPr>
        <w:t xml:space="preserve">new </w:t>
      </w:r>
      <w:r w:rsidR="009179B1" w:rsidRPr="009179B1">
        <w:rPr>
          <w:rFonts w:asciiTheme="minorHAnsi" w:hAnsiTheme="minorHAnsi"/>
          <w:b/>
          <w:sz w:val="24"/>
          <w:szCs w:val="24"/>
        </w:rPr>
        <w:t>paper requisition</w:t>
      </w:r>
      <w:r>
        <w:rPr>
          <w:rFonts w:asciiTheme="minorHAnsi" w:hAnsiTheme="minorHAnsi"/>
          <w:b/>
          <w:sz w:val="24"/>
          <w:szCs w:val="24"/>
        </w:rPr>
        <w:t>s</w:t>
      </w:r>
      <w:r w:rsidR="009179B1" w:rsidRPr="009179B1">
        <w:rPr>
          <w:rFonts w:asciiTheme="minorHAnsi" w:hAnsiTheme="minorHAnsi"/>
          <w:b/>
          <w:sz w:val="24"/>
          <w:szCs w:val="24"/>
        </w:rPr>
        <w:t xml:space="preserve"> that</w:t>
      </w:r>
      <w:r>
        <w:rPr>
          <w:rFonts w:asciiTheme="minorHAnsi" w:hAnsiTheme="minorHAnsi"/>
          <w:b/>
          <w:sz w:val="24"/>
          <w:szCs w:val="24"/>
        </w:rPr>
        <w:t xml:space="preserve"> are</w:t>
      </w:r>
      <w:r w:rsidR="009179B1" w:rsidRPr="009179B1">
        <w:rPr>
          <w:rFonts w:asciiTheme="minorHAnsi" w:hAnsiTheme="minorHAnsi"/>
          <w:b/>
          <w:sz w:val="24"/>
          <w:szCs w:val="24"/>
        </w:rPr>
        <w:t xml:space="preserve"> attached.  Th</w:t>
      </w:r>
      <w:r>
        <w:rPr>
          <w:rFonts w:asciiTheme="minorHAnsi" w:hAnsiTheme="minorHAnsi"/>
          <w:b/>
          <w:sz w:val="24"/>
          <w:szCs w:val="24"/>
        </w:rPr>
        <w:t>e</w:t>
      </w:r>
      <w:r w:rsidR="009179B1" w:rsidRPr="009179B1">
        <w:rPr>
          <w:rFonts w:asciiTheme="minorHAnsi" w:hAnsiTheme="minorHAnsi"/>
          <w:b/>
          <w:sz w:val="24"/>
          <w:szCs w:val="24"/>
        </w:rPr>
        <w:t>s</w:t>
      </w:r>
      <w:r>
        <w:rPr>
          <w:rFonts w:asciiTheme="minorHAnsi" w:hAnsiTheme="minorHAnsi"/>
          <w:b/>
          <w:sz w:val="24"/>
          <w:szCs w:val="24"/>
        </w:rPr>
        <w:t>e</w:t>
      </w:r>
      <w:r w:rsidR="009179B1" w:rsidRPr="009179B1">
        <w:rPr>
          <w:rFonts w:asciiTheme="minorHAnsi" w:hAnsiTheme="minorHAnsi"/>
          <w:b/>
          <w:sz w:val="24"/>
          <w:szCs w:val="24"/>
        </w:rPr>
        <w:t xml:space="preserve"> paper requisition</w:t>
      </w:r>
      <w:r>
        <w:rPr>
          <w:rFonts w:asciiTheme="minorHAnsi" w:hAnsiTheme="minorHAnsi"/>
          <w:b/>
          <w:sz w:val="24"/>
          <w:szCs w:val="24"/>
        </w:rPr>
        <w:t>s</w:t>
      </w:r>
      <w:r w:rsidR="009179B1" w:rsidRPr="009179B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are</w:t>
      </w:r>
      <w:r w:rsidR="009179B1" w:rsidRPr="009179B1">
        <w:rPr>
          <w:rFonts w:asciiTheme="minorHAnsi" w:hAnsiTheme="minorHAnsi"/>
          <w:b/>
          <w:sz w:val="24"/>
          <w:szCs w:val="24"/>
        </w:rPr>
        <w:t xml:space="preserve"> available electronically on </w:t>
      </w:r>
      <w:r>
        <w:rPr>
          <w:rFonts w:asciiTheme="minorHAnsi" w:hAnsiTheme="minorHAnsi"/>
          <w:b/>
          <w:sz w:val="24"/>
          <w:szCs w:val="24"/>
        </w:rPr>
        <w:t xml:space="preserve">ANCHOR. </w:t>
      </w:r>
    </w:p>
    <w:p w:rsidR="008C3598" w:rsidRDefault="008C3598" w:rsidP="008C3598">
      <w:pPr>
        <w:pStyle w:val="ListParagraph"/>
        <w:numPr>
          <w:ilvl w:val="0"/>
          <w:numId w:val="18"/>
        </w:num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Bone Marrow Requisition</w:t>
      </w:r>
    </w:p>
    <w:p w:rsidR="00682525" w:rsidRPr="008C3598" w:rsidRDefault="008C3598" w:rsidP="00682525">
      <w:pPr>
        <w:pStyle w:val="ListParagraph"/>
        <w:numPr>
          <w:ilvl w:val="0"/>
          <w:numId w:val="18"/>
        </w:num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C3598">
        <w:rPr>
          <w:rFonts w:asciiTheme="minorHAnsi" w:hAnsiTheme="minorHAnsi"/>
          <w:b/>
          <w:sz w:val="24"/>
          <w:szCs w:val="24"/>
        </w:rPr>
        <w:t>Surgical Specimen Requisition</w:t>
      </w:r>
    </w:p>
    <w:p w:rsidR="009019EB" w:rsidRDefault="004314CF" w:rsidP="00682525">
      <w:pPr>
        <w:rPr>
          <w:rFonts w:asciiTheme="minorHAnsi" w:hAnsiTheme="minorHAnsi"/>
          <w:sz w:val="24"/>
          <w:szCs w:val="24"/>
        </w:rPr>
      </w:pPr>
      <w:r w:rsidRPr="009019EB">
        <w:rPr>
          <w:rFonts w:asciiTheme="minorHAnsi" w:hAnsiTheme="minorHAnsi"/>
          <w:sz w:val="24"/>
          <w:szCs w:val="24"/>
        </w:rPr>
        <w:t>Irreplaceable specimens received with</w:t>
      </w:r>
      <w:r w:rsidR="006D1229" w:rsidRPr="009019EB">
        <w:rPr>
          <w:rFonts w:asciiTheme="minorHAnsi" w:hAnsiTheme="minorHAnsi"/>
          <w:sz w:val="24"/>
          <w:szCs w:val="24"/>
        </w:rPr>
        <w:t>out</w:t>
      </w:r>
      <w:r w:rsidRPr="009019EB">
        <w:rPr>
          <w:rFonts w:asciiTheme="minorHAnsi" w:hAnsiTheme="minorHAnsi"/>
          <w:sz w:val="24"/>
          <w:szCs w:val="24"/>
        </w:rPr>
        <w:t xml:space="preserve"> a complete set of clinical orders will be triaged at the discretion of an attending pathologist. </w:t>
      </w:r>
      <w:r w:rsidR="009019EB">
        <w:rPr>
          <w:rFonts w:asciiTheme="minorHAnsi" w:hAnsiTheme="minorHAnsi"/>
          <w:sz w:val="24"/>
          <w:szCs w:val="24"/>
        </w:rPr>
        <w:t>Any communication about the clinical indication for the test, or the patient’s clinical history must be documented</w:t>
      </w:r>
      <w:bookmarkStart w:id="0" w:name="_GoBack"/>
      <w:bookmarkEnd w:id="0"/>
      <w:r w:rsidR="009019EB">
        <w:rPr>
          <w:rFonts w:asciiTheme="minorHAnsi" w:hAnsiTheme="minorHAnsi"/>
          <w:sz w:val="24"/>
          <w:szCs w:val="24"/>
        </w:rPr>
        <w:t xml:space="preserve"> on the paper requisitions or within </w:t>
      </w:r>
      <w:proofErr w:type="spellStart"/>
      <w:r w:rsidR="009019EB">
        <w:rPr>
          <w:rFonts w:asciiTheme="minorHAnsi" w:hAnsiTheme="minorHAnsi"/>
          <w:sz w:val="24"/>
          <w:szCs w:val="24"/>
        </w:rPr>
        <w:t>OpTime</w:t>
      </w:r>
      <w:proofErr w:type="spellEnd"/>
      <w:r w:rsidR="009019EB">
        <w:rPr>
          <w:rFonts w:asciiTheme="minorHAnsi" w:hAnsiTheme="minorHAnsi"/>
          <w:sz w:val="24"/>
          <w:szCs w:val="24"/>
        </w:rPr>
        <w:t xml:space="preserve">. </w:t>
      </w:r>
    </w:p>
    <w:p w:rsidR="009019EB" w:rsidRPr="009019EB" w:rsidRDefault="009019EB" w:rsidP="00682525">
      <w:pPr>
        <w:rPr>
          <w:rFonts w:asciiTheme="minorHAnsi" w:hAnsiTheme="minorHAnsi"/>
          <w:sz w:val="24"/>
          <w:szCs w:val="24"/>
        </w:rPr>
      </w:pPr>
    </w:p>
    <w:p w:rsidR="00682525" w:rsidRPr="00682525" w:rsidRDefault="00682525" w:rsidP="0068252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Unacceptable test order formats</w:t>
      </w:r>
      <w:r w:rsidRPr="00682525">
        <w:rPr>
          <w:rFonts w:asciiTheme="minorHAnsi" w:hAnsiTheme="minorHAnsi"/>
          <w:b/>
          <w:sz w:val="24"/>
          <w:szCs w:val="24"/>
        </w:rPr>
        <w:t xml:space="preserve"> include; but are not limited to:</w:t>
      </w:r>
    </w:p>
    <w:p w:rsidR="00682525" w:rsidRP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682525">
        <w:rPr>
          <w:rFonts w:asciiTheme="minorHAnsi" w:hAnsiTheme="minorHAnsi"/>
          <w:sz w:val="24"/>
          <w:szCs w:val="24"/>
        </w:rPr>
        <w:t>SU-7 O.R. Documentation Surgical Procedures (aka the pink sheet)</w:t>
      </w:r>
    </w:p>
    <w:p w:rsid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682525">
        <w:rPr>
          <w:rFonts w:asciiTheme="minorHAnsi" w:hAnsiTheme="minorHAnsi"/>
          <w:sz w:val="24"/>
          <w:szCs w:val="24"/>
        </w:rPr>
        <w:t>LA-101 Cytology Request Form</w:t>
      </w:r>
    </w:p>
    <w:p w:rsidR="00682525" w:rsidRP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LA-82 Bone Marrow Exam</w:t>
      </w:r>
    </w:p>
    <w:p w:rsidR="00682525" w:rsidRP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682525">
        <w:rPr>
          <w:rFonts w:asciiTheme="minorHAnsi" w:hAnsiTheme="minorHAnsi" w:cs="Swiss721BT-Roman"/>
          <w:sz w:val="24"/>
          <w:szCs w:val="24"/>
        </w:rPr>
        <w:t xml:space="preserve">NU-1 Consultation or Referral Request </w:t>
      </w:r>
    </w:p>
    <w:p w:rsidR="00682525" w:rsidRP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682525">
        <w:rPr>
          <w:rFonts w:asciiTheme="minorHAnsi" w:hAnsiTheme="minorHAnsi"/>
          <w:sz w:val="24"/>
          <w:szCs w:val="24"/>
        </w:rPr>
        <w:t>Any other types of consult/referral forms</w:t>
      </w:r>
    </w:p>
    <w:p w:rsidR="00682525" w:rsidRP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682525">
        <w:rPr>
          <w:rFonts w:asciiTheme="minorHAnsi" w:hAnsiTheme="minorHAnsi"/>
          <w:sz w:val="24"/>
          <w:szCs w:val="24"/>
        </w:rPr>
        <w:t>Any previous surgical specimen requisitions</w:t>
      </w:r>
    </w:p>
    <w:p w:rsidR="00682525" w:rsidRP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682525">
        <w:rPr>
          <w:rFonts w:asciiTheme="minorHAnsi" w:hAnsiTheme="minorHAnsi"/>
          <w:sz w:val="24"/>
          <w:szCs w:val="24"/>
        </w:rPr>
        <w:lastRenderedPageBreak/>
        <w:t xml:space="preserve">Hand-written notes on specimen containers </w:t>
      </w:r>
    </w:p>
    <w:p w:rsidR="00682525" w:rsidRPr="00682525" w:rsidRDefault="00682525" w:rsidP="00682525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682525">
        <w:rPr>
          <w:rFonts w:asciiTheme="minorHAnsi" w:hAnsiTheme="minorHAnsi"/>
          <w:sz w:val="24"/>
          <w:szCs w:val="24"/>
        </w:rPr>
        <w:t>E-mail sent to Pathologists</w:t>
      </w:r>
      <w:r w:rsidR="0051496A">
        <w:rPr>
          <w:rFonts w:asciiTheme="minorHAnsi" w:hAnsiTheme="minorHAnsi"/>
          <w:sz w:val="24"/>
          <w:szCs w:val="24"/>
        </w:rPr>
        <w:t xml:space="preserve"> or other laboratory staff</w:t>
      </w:r>
    </w:p>
    <w:p w:rsidR="00682525" w:rsidRDefault="00682525" w:rsidP="00682525">
      <w:pPr>
        <w:rPr>
          <w:sz w:val="24"/>
          <w:szCs w:val="24"/>
        </w:rPr>
      </w:pPr>
      <w:r>
        <w:rPr>
          <w:sz w:val="24"/>
          <w:szCs w:val="24"/>
        </w:rPr>
        <w:t xml:space="preserve">Any laboratory controlled forms listed above will be phased out over the next few weeks. </w:t>
      </w:r>
    </w:p>
    <w:p w:rsidR="00682525" w:rsidRPr="000C02F8" w:rsidRDefault="00682525" w:rsidP="00682525">
      <w:pPr>
        <w:rPr>
          <w:sz w:val="24"/>
          <w:szCs w:val="24"/>
        </w:rPr>
      </w:pPr>
    </w:p>
    <w:p w:rsidR="00773ADE" w:rsidRPr="00682525" w:rsidRDefault="00682525" w:rsidP="004D07A4">
      <w:pPr>
        <w:rPr>
          <w:sz w:val="24"/>
          <w:szCs w:val="24"/>
        </w:rPr>
      </w:pPr>
      <w:r w:rsidRPr="000C02F8">
        <w:rPr>
          <w:sz w:val="24"/>
          <w:szCs w:val="24"/>
        </w:rPr>
        <w:t xml:space="preserve">In addition to the current lab transport process, the laboratory staff will also be responsible for transporting all surgical specimens collected in the Operating Rooms on Main Campus. </w:t>
      </w:r>
    </w:p>
    <w:p w:rsidR="00F84F3B" w:rsidRPr="00B401DD" w:rsidRDefault="00F84F3B" w:rsidP="00DB5922">
      <w:pPr>
        <w:rPr>
          <w:rFonts w:asciiTheme="minorHAnsi" w:hAnsiTheme="minorHAnsi"/>
          <w:bCs/>
          <w:sz w:val="24"/>
          <w:szCs w:val="24"/>
        </w:rPr>
      </w:pPr>
    </w:p>
    <w:sectPr w:rsidR="00F84F3B" w:rsidRPr="00B401DD" w:rsidSect="004D07A4">
      <w:footerReference w:type="default" r:id="rId10"/>
      <w:pgSz w:w="12240" w:h="15840"/>
      <w:pgMar w:top="1440" w:right="108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6C" w:rsidRDefault="001D7A6C" w:rsidP="00045850">
      <w:r>
        <w:separator/>
      </w:r>
    </w:p>
  </w:endnote>
  <w:endnote w:type="continuationSeparator" w:id="0">
    <w:p w:rsidR="001D7A6C" w:rsidRDefault="001D7A6C" w:rsidP="0004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721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850" w:rsidRDefault="00682525">
    <w:pPr>
      <w:pStyle w:val="Footer"/>
    </w:pPr>
    <w:r>
      <w:t>March 24, 2017</w:t>
    </w:r>
  </w:p>
  <w:p w:rsidR="00045850" w:rsidRDefault="00045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6C" w:rsidRDefault="001D7A6C" w:rsidP="00045850">
      <w:r>
        <w:separator/>
      </w:r>
    </w:p>
  </w:footnote>
  <w:footnote w:type="continuationSeparator" w:id="0">
    <w:p w:rsidR="001D7A6C" w:rsidRDefault="001D7A6C" w:rsidP="0004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pt" o:bullet="t">
        <v:imagedata r:id="rId1" o:title="BD21300_"/>
      </v:shape>
    </w:pict>
  </w:numPicBullet>
  <w:abstractNum w:abstractNumId="0">
    <w:nsid w:val="0A144F02"/>
    <w:multiLevelType w:val="hybridMultilevel"/>
    <w:tmpl w:val="3F9A68F0"/>
    <w:lvl w:ilvl="0" w:tplc="E4C26B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E9F0CFB"/>
    <w:multiLevelType w:val="hybridMultilevel"/>
    <w:tmpl w:val="6188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5052"/>
    <w:multiLevelType w:val="hybridMultilevel"/>
    <w:tmpl w:val="455A082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99F0BB3"/>
    <w:multiLevelType w:val="hybridMultilevel"/>
    <w:tmpl w:val="F252D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E9C"/>
    <w:multiLevelType w:val="hybridMultilevel"/>
    <w:tmpl w:val="74A07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192"/>
    <w:multiLevelType w:val="hybridMultilevel"/>
    <w:tmpl w:val="8ABCE42A"/>
    <w:lvl w:ilvl="0" w:tplc="DBC24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1A554E"/>
    <w:multiLevelType w:val="hybridMultilevel"/>
    <w:tmpl w:val="CEB46CD6"/>
    <w:lvl w:ilvl="0" w:tplc="B8981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E3A44"/>
    <w:multiLevelType w:val="hybridMultilevel"/>
    <w:tmpl w:val="EAF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960BD"/>
    <w:multiLevelType w:val="hybridMultilevel"/>
    <w:tmpl w:val="694AAF14"/>
    <w:lvl w:ilvl="0" w:tplc="136C64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B7E11"/>
    <w:multiLevelType w:val="hybridMultilevel"/>
    <w:tmpl w:val="5404A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414E3"/>
    <w:multiLevelType w:val="hybridMultilevel"/>
    <w:tmpl w:val="08A622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1B79C0"/>
    <w:multiLevelType w:val="hybridMultilevel"/>
    <w:tmpl w:val="3154B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C62DF"/>
    <w:multiLevelType w:val="hybridMultilevel"/>
    <w:tmpl w:val="95A43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C342A"/>
    <w:multiLevelType w:val="hybridMultilevel"/>
    <w:tmpl w:val="DE78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62D60"/>
    <w:multiLevelType w:val="hybridMultilevel"/>
    <w:tmpl w:val="C260573C"/>
    <w:lvl w:ilvl="0" w:tplc="C0B2F8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90999"/>
    <w:multiLevelType w:val="hybridMultilevel"/>
    <w:tmpl w:val="52785786"/>
    <w:lvl w:ilvl="0" w:tplc="B0C625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8C4C83E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78762285"/>
    <w:multiLevelType w:val="hybridMultilevel"/>
    <w:tmpl w:val="A0CE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F9"/>
    <w:rsid w:val="0001508C"/>
    <w:rsid w:val="00045850"/>
    <w:rsid w:val="00051625"/>
    <w:rsid w:val="00060CE4"/>
    <w:rsid w:val="00065307"/>
    <w:rsid w:val="00081241"/>
    <w:rsid w:val="00092161"/>
    <w:rsid w:val="000942E2"/>
    <w:rsid w:val="0011490B"/>
    <w:rsid w:val="00134000"/>
    <w:rsid w:val="001406D9"/>
    <w:rsid w:val="00146CB2"/>
    <w:rsid w:val="00173E11"/>
    <w:rsid w:val="00183E64"/>
    <w:rsid w:val="001D7A6C"/>
    <w:rsid w:val="001F25E1"/>
    <w:rsid w:val="00244380"/>
    <w:rsid w:val="002530F9"/>
    <w:rsid w:val="0026138D"/>
    <w:rsid w:val="00285E16"/>
    <w:rsid w:val="002D14EF"/>
    <w:rsid w:val="002E1093"/>
    <w:rsid w:val="002E4157"/>
    <w:rsid w:val="002E5BA3"/>
    <w:rsid w:val="00313CC3"/>
    <w:rsid w:val="00324C74"/>
    <w:rsid w:val="003272E5"/>
    <w:rsid w:val="00352572"/>
    <w:rsid w:val="003529DD"/>
    <w:rsid w:val="00371269"/>
    <w:rsid w:val="003A710D"/>
    <w:rsid w:val="003C556C"/>
    <w:rsid w:val="003F6531"/>
    <w:rsid w:val="00400EF4"/>
    <w:rsid w:val="00417F01"/>
    <w:rsid w:val="004314CF"/>
    <w:rsid w:val="004352F3"/>
    <w:rsid w:val="00445809"/>
    <w:rsid w:val="00477917"/>
    <w:rsid w:val="004A119A"/>
    <w:rsid w:val="004C0484"/>
    <w:rsid w:val="004D07A4"/>
    <w:rsid w:val="005007BC"/>
    <w:rsid w:val="0051496A"/>
    <w:rsid w:val="00555618"/>
    <w:rsid w:val="00556B56"/>
    <w:rsid w:val="0060719B"/>
    <w:rsid w:val="00631C45"/>
    <w:rsid w:val="006438AD"/>
    <w:rsid w:val="006579CD"/>
    <w:rsid w:val="006819D6"/>
    <w:rsid w:val="00682525"/>
    <w:rsid w:val="006D1229"/>
    <w:rsid w:val="006F48B2"/>
    <w:rsid w:val="006F63C1"/>
    <w:rsid w:val="00754870"/>
    <w:rsid w:val="00770F3C"/>
    <w:rsid w:val="00773ADE"/>
    <w:rsid w:val="00774FF8"/>
    <w:rsid w:val="00792C59"/>
    <w:rsid w:val="007B4172"/>
    <w:rsid w:val="007E71D4"/>
    <w:rsid w:val="00803F2C"/>
    <w:rsid w:val="008168BE"/>
    <w:rsid w:val="008354E7"/>
    <w:rsid w:val="00852E89"/>
    <w:rsid w:val="008A00D8"/>
    <w:rsid w:val="008A64CA"/>
    <w:rsid w:val="008C3598"/>
    <w:rsid w:val="008C3FE4"/>
    <w:rsid w:val="009019EB"/>
    <w:rsid w:val="00904D5F"/>
    <w:rsid w:val="0091076D"/>
    <w:rsid w:val="009179B1"/>
    <w:rsid w:val="00937C61"/>
    <w:rsid w:val="00967348"/>
    <w:rsid w:val="00997F9F"/>
    <w:rsid w:val="009A6D52"/>
    <w:rsid w:val="009B531C"/>
    <w:rsid w:val="00A32341"/>
    <w:rsid w:val="00A36EB3"/>
    <w:rsid w:val="00A83510"/>
    <w:rsid w:val="00A84981"/>
    <w:rsid w:val="00A84DE6"/>
    <w:rsid w:val="00B00A48"/>
    <w:rsid w:val="00B401DD"/>
    <w:rsid w:val="00B529FB"/>
    <w:rsid w:val="00B703EB"/>
    <w:rsid w:val="00B9582F"/>
    <w:rsid w:val="00BA24FC"/>
    <w:rsid w:val="00BD635B"/>
    <w:rsid w:val="00BF473E"/>
    <w:rsid w:val="00BF551F"/>
    <w:rsid w:val="00C0134A"/>
    <w:rsid w:val="00C5029B"/>
    <w:rsid w:val="00C510B3"/>
    <w:rsid w:val="00C5186A"/>
    <w:rsid w:val="00C867D8"/>
    <w:rsid w:val="00CC61D0"/>
    <w:rsid w:val="00CF4FF3"/>
    <w:rsid w:val="00D12CEB"/>
    <w:rsid w:val="00D46A87"/>
    <w:rsid w:val="00DA0A9F"/>
    <w:rsid w:val="00DA3941"/>
    <w:rsid w:val="00DA4FFA"/>
    <w:rsid w:val="00DB5922"/>
    <w:rsid w:val="00DE6BBF"/>
    <w:rsid w:val="00E22485"/>
    <w:rsid w:val="00EA10EE"/>
    <w:rsid w:val="00EB060E"/>
    <w:rsid w:val="00EB76EB"/>
    <w:rsid w:val="00EE3344"/>
    <w:rsid w:val="00F37622"/>
    <w:rsid w:val="00F66933"/>
    <w:rsid w:val="00F84F3B"/>
    <w:rsid w:val="00FC7916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F9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FC7916"/>
    <w:pPr>
      <w:keepNext/>
      <w:ind w:left="720"/>
      <w:outlineLvl w:val="4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5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5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5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C7916"/>
  </w:style>
  <w:style w:type="character" w:customStyle="1" w:styleId="Heading5Char">
    <w:name w:val="Heading 5 Char"/>
    <w:basedOn w:val="DefaultParagraphFont"/>
    <w:link w:val="Heading5"/>
    <w:rsid w:val="00FC791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7916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C79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6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F9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FC7916"/>
    <w:pPr>
      <w:keepNext/>
      <w:ind w:left="720"/>
      <w:outlineLvl w:val="4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5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5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5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C7916"/>
  </w:style>
  <w:style w:type="character" w:customStyle="1" w:styleId="Heading5Char">
    <w:name w:val="Heading 5 Char"/>
    <w:basedOn w:val="DefaultParagraphFont"/>
    <w:link w:val="Heading5"/>
    <w:rsid w:val="00FC791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7916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C79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6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3AB6-6508-4897-B1AF-7E734442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Goodwin, Schyler</dc:creator>
  <cp:lastModifiedBy>Wilson, Jade</cp:lastModifiedBy>
  <cp:revision>4</cp:revision>
  <cp:lastPrinted>2017-03-16T20:59:00Z</cp:lastPrinted>
  <dcterms:created xsi:type="dcterms:W3CDTF">2017-03-24T20:23:00Z</dcterms:created>
  <dcterms:modified xsi:type="dcterms:W3CDTF">2017-03-27T19:34:00Z</dcterms:modified>
</cp:coreProperties>
</file>