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1A0E" w14:textId="187285F6" w:rsidR="00363F76" w:rsidRDefault="00363F76" w:rsidP="00363F76">
      <w:pPr>
        <w:pStyle w:val="Heading1"/>
      </w:pPr>
      <w:r>
        <w:t>2024 Conference Session Descriptions (Subject to change)</w:t>
      </w:r>
    </w:p>
    <w:p w14:paraId="70B2D89D" w14:textId="4C02DDD7" w:rsidR="00363F76" w:rsidRDefault="00363F76" w:rsidP="00363F76">
      <w:pPr>
        <w:pStyle w:val="Heading2"/>
      </w:pPr>
      <w:r>
        <w:t xml:space="preserve">Wednesday, </w:t>
      </w:r>
      <w:r w:rsidRPr="00363F76">
        <w:t>2</w:t>
      </w:r>
      <w:r w:rsidRPr="00363F76">
        <w:rPr>
          <w:rFonts w:ascii="Cambria Math" w:hAnsi="Cambria Math" w:cs="Cambria Math"/>
        </w:rPr>
        <w:t>‐</w:t>
      </w:r>
      <w:r w:rsidRPr="00363F76">
        <w:t>2:45 PM</w:t>
      </w:r>
    </w:p>
    <w:p w14:paraId="70B442E8" w14:textId="2022C380" w:rsidR="00363F76" w:rsidRPr="00363F76" w:rsidRDefault="00363F76" w:rsidP="00363F76">
      <w:pPr>
        <w:pStyle w:val="Heading3"/>
      </w:pPr>
      <w:r w:rsidRPr="00363F76">
        <w:t>Appeals Done Right, David Schneider</w:t>
      </w:r>
    </w:p>
    <w:p w14:paraId="1FCA17E1" w14:textId="1074ECFC" w:rsidR="00363F76" w:rsidRDefault="00363F76" w:rsidP="00363F76">
      <w:r>
        <w:t>An academic appeals board can act as a microcosm of an institution's culture. In this session we will examining the Registrar's role in academic appeals committee and related processes. How can we add value to the process by representing and reminding of the importance of processes and procedures? And how can we use the outcomes of academic appeals to influence and change campus policies?</w:t>
      </w:r>
    </w:p>
    <w:p w14:paraId="2702DD5E" w14:textId="62B91572" w:rsidR="00363F76" w:rsidRPr="00363F76" w:rsidRDefault="00363F76" w:rsidP="00363F76">
      <w:pPr>
        <w:pStyle w:val="Heading3"/>
      </w:pPr>
      <w:r w:rsidRPr="00363F76">
        <w:t>First Time Attendee Session, Missy Weininger</w:t>
      </w:r>
    </w:p>
    <w:p w14:paraId="0013AA97" w14:textId="0D841B94" w:rsidR="00363F76" w:rsidRPr="00363F76" w:rsidRDefault="00363F76" w:rsidP="00363F76">
      <w:pPr>
        <w:pStyle w:val="Heading3"/>
      </w:pPr>
      <w:r w:rsidRPr="00363F76">
        <w:t>Managing Up, Down and Across: Navigating Challenges with your Supervisor and Staff, Kathleen Pugh</w:t>
      </w:r>
    </w:p>
    <w:p w14:paraId="33F335B1" w14:textId="0CED20E5" w:rsidR="00363F76" w:rsidRDefault="00363F76" w:rsidP="00363F76">
      <w:r>
        <w:t>Come learn how to manage up, down and across! We will be navigating some of the most difficult challenges in the modern workplace by discussing supervision of cross-generational teams, including those with more experience than you, and how to strategize when working with an ineffective supervisor, how to engage and motivate team members, and utilize resources within or close to your office.</w:t>
      </w:r>
    </w:p>
    <w:p w14:paraId="5876537C" w14:textId="4BA95A1B" w:rsidR="00363F76" w:rsidRDefault="00363F76" w:rsidP="00363F76">
      <w:pPr>
        <w:pStyle w:val="Heading2"/>
      </w:pPr>
      <w:r>
        <w:t xml:space="preserve">Wednesday, </w:t>
      </w:r>
      <w:r>
        <w:t>3</w:t>
      </w:r>
      <w:r w:rsidRPr="006920EE">
        <w:t>‐</w:t>
      </w:r>
      <w:r w:rsidRPr="006920EE">
        <w:t>3</w:t>
      </w:r>
      <w:r w:rsidRPr="00363F76">
        <w:t>:45 PM</w:t>
      </w:r>
    </w:p>
    <w:p w14:paraId="7499B8A5" w14:textId="484D7D3D" w:rsidR="00363F76" w:rsidRPr="00363F76" w:rsidRDefault="00363F76" w:rsidP="00363F76">
      <w:pPr>
        <w:pStyle w:val="Heading3"/>
      </w:pPr>
      <w:r w:rsidRPr="00363F76">
        <w:t>Best Practices for Transfer Credit Evaluation, Melissa Swafford &amp; Joseph Smith</w:t>
      </w:r>
    </w:p>
    <w:p w14:paraId="3287E155" w14:textId="673EF068" w:rsidR="00363F76" w:rsidRDefault="00363F76" w:rsidP="00363F76">
      <w:r>
        <w:t>This session will explore best practices for efficient and accurate decisions about transfer and applicability of transfer credit from diverse institutions.  Colleges and universities will learn about tools for automating the evaluation of transfer credit and for developing effective communication plans to support new transfer students as they onboard at your institution.</w:t>
      </w:r>
    </w:p>
    <w:p w14:paraId="21DC379F" w14:textId="723195C0" w:rsidR="00363F76" w:rsidRDefault="00363F76" w:rsidP="00363F76">
      <w:pPr>
        <w:pStyle w:val="Heading3"/>
      </w:pPr>
      <w:r>
        <w:t>AACRAO Presenter, Brenda Selman</w:t>
      </w:r>
      <w:r>
        <w:t xml:space="preserve"> </w:t>
      </w:r>
    </w:p>
    <w:p w14:paraId="123DEEDA" w14:textId="77777777" w:rsidR="00363F76" w:rsidRDefault="00363F76" w:rsidP="00363F76">
      <w:pPr>
        <w:pStyle w:val="Heading3"/>
      </w:pPr>
      <w:r>
        <w:t>Digitizing the Registrar's Office: Discovering Efficiencies in Online Processing, Wilson Turner</w:t>
      </w:r>
      <w:r>
        <w:tab/>
      </w:r>
    </w:p>
    <w:p w14:paraId="184E9C04" w14:textId="66742F0D" w:rsidR="00363F76" w:rsidRDefault="00363F76" w:rsidP="00363F76">
      <w:r>
        <w:t>Transition from historical paper based systems to more cutting edge electronic systems can be daunting; however, the results bring long-term efficiencies that are undeniable. Understanding the hurdles to justify the transition, then imploring the benefits are invaluable to the integrity and longevity to function as Registrars in the most effective and efficient manners.</w:t>
      </w:r>
    </w:p>
    <w:p w14:paraId="1253D921" w14:textId="324AE916" w:rsidR="00363F76" w:rsidRDefault="00363F76" w:rsidP="00363F76">
      <w:pPr>
        <w:pStyle w:val="Heading2"/>
      </w:pPr>
      <w:r>
        <w:t xml:space="preserve">Wednesday, </w:t>
      </w:r>
      <w:r>
        <w:t>4</w:t>
      </w:r>
      <w:r w:rsidRPr="006920EE">
        <w:t>‐</w:t>
      </w:r>
      <w:r>
        <w:t>4</w:t>
      </w:r>
      <w:r w:rsidRPr="00363F76">
        <w:t>:45 PM</w:t>
      </w:r>
    </w:p>
    <w:p w14:paraId="6BF94267" w14:textId="7EDCCE0D" w:rsidR="00363F76" w:rsidRDefault="00363F76" w:rsidP="00363F76">
      <w:pPr>
        <w:pStyle w:val="Heading3"/>
      </w:pPr>
      <w:r>
        <w:t xml:space="preserve">Ohio Residency for Beginners, Sue </w:t>
      </w:r>
      <w:proofErr w:type="spellStart"/>
      <w:r>
        <w:t>Strakowski</w:t>
      </w:r>
      <w:proofErr w:type="spellEnd"/>
    </w:p>
    <w:p w14:paraId="1AC40359" w14:textId="2C8B02DA" w:rsidR="00363F76" w:rsidRDefault="00363F76" w:rsidP="00363F76">
      <w:r>
        <w:t>This workshop is to help new staff members in Ohio public colleges and universities to learn the basics of Ohio residency law and best practices for assisting students through the process of applying for change of residency status.</w:t>
      </w:r>
    </w:p>
    <w:p w14:paraId="0656F26E" w14:textId="77777777" w:rsidR="00363F76" w:rsidRDefault="00363F76" w:rsidP="00363F76">
      <w:pPr>
        <w:pStyle w:val="Heading3"/>
      </w:pPr>
      <w:r>
        <w:t>Building Effective Partnerships in Graduate Student Recruitment: A Blended Approach of Centralized and Decentralized Collaboration, Ryan Boyd &amp; Mary Hess</w:t>
      </w:r>
    </w:p>
    <w:p w14:paraId="6CC12227" w14:textId="76ADD87C" w:rsidR="00363F76" w:rsidRDefault="00363F76" w:rsidP="00363F76">
      <w:r>
        <w:t xml:space="preserve">Building Effective Partnerships in Graduate Student Recruitment: A Blended Approach of Centralized and Decentralized Collaboration offers a deep dive into the synergistic recruitment and marketing approach adopted by the University of Cincinnati's Office of Graduate Admissions in collaboration with its 11 colleges. </w:t>
      </w:r>
      <w:r>
        <w:lastRenderedPageBreak/>
        <w:t>The session unveils the intricate tapestry of how centralized strategies from the Admissions Office intertwine with each college's unique, decentralized efforts, creating a robust and holistic recruitment narrative. Attendees will gain insights into the benefits and implementation of this strategy, understanding how it ensures a comprehensive, flexible, and authentic recruitment narrative while optimizing resources. Whether looking to broaden recruitment reach or seeking a fresh perspective on engaging prospective students, this presentation offers a roadmap to effective and diverse recruitment efforts.</w:t>
      </w:r>
    </w:p>
    <w:p w14:paraId="32CD8B95" w14:textId="77777777" w:rsidR="00363F76" w:rsidRDefault="00363F76" w:rsidP="00363F76">
      <w:pPr>
        <w:pStyle w:val="Heading3"/>
      </w:pPr>
      <w:r>
        <w:t>Breaking Down Barriers and Creating Access to College, Jack Miner</w:t>
      </w:r>
    </w:p>
    <w:p w14:paraId="4848348B" w14:textId="5A1A020D" w:rsidR="00363F76" w:rsidRDefault="00363F76" w:rsidP="00363F76">
      <w:r>
        <w:t>Many states, including Ohio, have limited resources and efforts dedicated to diversity, equity, and inclusion.  Similarly, the US Supreme Court's decision on the use of race in admission decisions has created challenges for inclusion.  Even within these models, University of Cincinnati has seen a significant increase in enrollment for Black, Latinx, and first-generation students.  This presentation will share some of the strategies that UC has used to ensure that they are continuing to provide access to the Cincinnati community.</w:t>
      </w:r>
    </w:p>
    <w:p w14:paraId="6AFA59FF" w14:textId="5787ABFE" w:rsidR="00363F76" w:rsidRDefault="00363F76" w:rsidP="00363F76">
      <w:pPr>
        <w:pStyle w:val="Heading2"/>
      </w:pPr>
      <w:r>
        <w:t>Thursday</w:t>
      </w:r>
      <w:r>
        <w:t xml:space="preserve">, </w:t>
      </w:r>
      <w:r>
        <w:t>10</w:t>
      </w:r>
      <w:r w:rsidRPr="006920EE">
        <w:t>‐</w:t>
      </w:r>
      <w:r w:rsidRPr="006920EE">
        <w:t>10</w:t>
      </w:r>
      <w:r w:rsidRPr="00363F76">
        <w:t xml:space="preserve">:45 </w:t>
      </w:r>
      <w:r>
        <w:t>A</w:t>
      </w:r>
      <w:r w:rsidRPr="00363F76">
        <w:t>M</w:t>
      </w:r>
    </w:p>
    <w:p w14:paraId="6759ADAA" w14:textId="77777777" w:rsidR="00363F76" w:rsidRDefault="00363F76" w:rsidP="00363F76">
      <w:pPr>
        <w:pStyle w:val="Heading3"/>
      </w:pPr>
      <w:r>
        <w:t>Innovative Credentials- Who, What, Where, Why, and How , Lauren Martin &amp;</w:t>
      </w:r>
      <w:r>
        <w:t xml:space="preserve"> </w:t>
      </w:r>
      <w:r>
        <w:t>Molly McDermott</w:t>
      </w:r>
    </w:p>
    <w:p w14:paraId="518F3B4B" w14:textId="558857CC" w:rsidR="00363F76" w:rsidRDefault="00363F76" w:rsidP="00363F76">
      <w:r>
        <w:t xml:space="preserve">Innovative Credentials also known by many names like Micro-Credentials are taking shape nationwide. The University of </w:t>
      </w:r>
      <w:r w:rsidR="006920EE">
        <w:t>Cincinnati</w:t>
      </w:r>
      <w:r>
        <w:t xml:space="preserve"> has implemented for Credit Micro-Credentials and is on the path to of issuing not for credit Micro-Credentials.  Join the session as we discuss the who, what, where, why, and how of Innovative Credentials from early discussions, to policy adoption and implementation. </w:t>
      </w:r>
    </w:p>
    <w:p w14:paraId="40C44AC2" w14:textId="77777777" w:rsidR="00B938AB" w:rsidRDefault="00363F76" w:rsidP="00B938AB">
      <w:pPr>
        <w:pStyle w:val="Heading3"/>
      </w:pPr>
      <w:r>
        <w:t>Opportunities for Leveraging Student Success, Jack Miner</w:t>
      </w:r>
    </w:p>
    <w:p w14:paraId="7EE28555" w14:textId="3A4694B9" w:rsidR="00363F76" w:rsidRDefault="00363F76" w:rsidP="00363F76">
      <w:r>
        <w:t>Enrollment Management offices have huge opportunities to be part of the student success work on campus.  This presentation will provide specific examples that are within the scope of enrollment management offices that can improve student success, retention, and graduation rates.</w:t>
      </w:r>
    </w:p>
    <w:p w14:paraId="3004ED95" w14:textId="77777777" w:rsidR="00B938AB" w:rsidRDefault="00363F76" w:rsidP="00B938AB">
      <w:pPr>
        <w:pStyle w:val="Heading3"/>
      </w:pPr>
      <w:r>
        <w:t>Internal Up-skilling &amp; Cross-functional Training, Wilson Turner</w:t>
      </w:r>
    </w:p>
    <w:p w14:paraId="53220CF5" w14:textId="2D18EB3A" w:rsidR="00363F76" w:rsidRDefault="00363F76" w:rsidP="00363F76">
      <w:r>
        <w:t xml:space="preserve">Up-skilling is the process of teaching employees new skills to help them either perform their current job more efficiently, or learn other job functions based on personal interests. Similarly, cross-functional training is an approach to talent development that places employees in a position to learn skills and abilities that are not exercised in their current roles. Combining these methods can increase the effective efficiency of your team. </w:t>
      </w:r>
    </w:p>
    <w:p w14:paraId="2E3B7819" w14:textId="39BC6FA3" w:rsidR="006920EE" w:rsidRDefault="006920EE" w:rsidP="006920EE">
      <w:pPr>
        <w:pStyle w:val="Heading2"/>
      </w:pPr>
      <w:r>
        <w:t xml:space="preserve">Thursday, </w:t>
      </w:r>
      <w:r>
        <w:t>11</w:t>
      </w:r>
      <w:r w:rsidRPr="00363F76">
        <w:rPr>
          <w:rFonts w:ascii="Cambria Math" w:hAnsi="Cambria Math" w:cs="Cambria Math"/>
        </w:rPr>
        <w:t>‐</w:t>
      </w:r>
      <w:r w:rsidRPr="006920EE">
        <w:t>11</w:t>
      </w:r>
      <w:r w:rsidRPr="00363F76">
        <w:t xml:space="preserve">:45 </w:t>
      </w:r>
      <w:r>
        <w:t>A</w:t>
      </w:r>
      <w:r w:rsidRPr="00363F76">
        <w:t>M</w:t>
      </w:r>
    </w:p>
    <w:p w14:paraId="75AA2F15" w14:textId="77777777" w:rsidR="00B938AB" w:rsidRDefault="00363F76" w:rsidP="00B938AB">
      <w:pPr>
        <w:pStyle w:val="Heading3"/>
      </w:pPr>
      <w:r>
        <w:t>Enhancing Student Advising: Improving Practices in Student Choice and Credit Transfer through Student Engagement &amp; Systems of Inquiry, Ryan Boyd</w:t>
      </w:r>
    </w:p>
    <w:p w14:paraId="5C57EF3D" w14:textId="57B27E75" w:rsidR="00363F76" w:rsidRDefault="00363F76" w:rsidP="00363F76">
      <w:r>
        <w:t>In an era where academic advising plays a pivotal role in shaping student success, this delves into advising methodologies focused on maximizing student engagement, facilitating seamless credit transfers, and employing systems of inquiry for personalized student support. We explore evidence-based strategies to navigate the complexities of student choices and credit transfer processes, aiming to equip advisors with the tools necessary for fostering academic achievement and student satisfaction. This session will highlight the importance of adaptability in advising practices to meet the evolving needs of a diverse student population, ensuring their successful navigation through educational pathways.</w:t>
      </w:r>
    </w:p>
    <w:p w14:paraId="3179CFED" w14:textId="77777777" w:rsidR="00B938AB" w:rsidRDefault="00363F76" w:rsidP="00B938AB">
      <w:pPr>
        <w:pStyle w:val="Heading3"/>
      </w:pPr>
      <w:r>
        <w:lastRenderedPageBreak/>
        <w:t>SIS Specific Round Table Discussions - The good, the bad, and the meh, Sun Jamerson &amp; Eric</w:t>
      </w:r>
      <w:r w:rsidR="00B938AB">
        <w:t xml:space="preserve"> </w:t>
      </w:r>
      <w:r>
        <w:t>Steinberger</w:t>
      </w:r>
    </w:p>
    <w:p w14:paraId="76AE36F7" w14:textId="0C2F3D30" w:rsidR="00363F76" w:rsidRDefault="00B938AB" w:rsidP="00363F76">
      <w:r>
        <w:t>This round table will be a breakout</w:t>
      </w:r>
      <w:r w:rsidR="00363F76">
        <w:t xml:space="preserve"> for schools who use the same </w:t>
      </w:r>
      <w:r>
        <w:t>Student Information System</w:t>
      </w:r>
      <w:r>
        <w:t>s (SIS)</w:t>
      </w:r>
      <w:r>
        <w:t>.</w:t>
      </w:r>
      <w:r w:rsidR="00363F76">
        <w:t xml:space="preserve"> </w:t>
      </w:r>
      <w:r>
        <w:t xml:space="preserve">Attendees will break off into their relative SIS. </w:t>
      </w:r>
    </w:p>
    <w:p w14:paraId="5324DEB4" w14:textId="1B057A7E" w:rsidR="006920EE" w:rsidRDefault="006920EE" w:rsidP="006920EE">
      <w:pPr>
        <w:pStyle w:val="Heading2"/>
      </w:pPr>
      <w:r>
        <w:t xml:space="preserve">Thursday, </w:t>
      </w:r>
      <w:r>
        <w:t>2-2:</w:t>
      </w:r>
      <w:r w:rsidRPr="00363F76">
        <w:t xml:space="preserve">45 </w:t>
      </w:r>
      <w:r>
        <w:t>P</w:t>
      </w:r>
      <w:r w:rsidRPr="00363F76">
        <w:t>M</w:t>
      </w:r>
    </w:p>
    <w:p w14:paraId="4EBE28BB" w14:textId="77777777" w:rsidR="00B938AB" w:rsidRDefault="00363F76" w:rsidP="006920EE">
      <w:pPr>
        <w:pStyle w:val="Heading3"/>
      </w:pPr>
      <w:r>
        <w:t>Round Table: Transfer Credit, Jennifer Fry &amp; Angela Kiszka</w:t>
      </w:r>
    </w:p>
    <w:p w14:paraId="147FA24F" w14:textId="60E1BA8A" w:rsidR="00363F76" w:rsidRDefault="00363F76" w:rsidP="00363F76">
      <w:r>
        <w:t xml:space="preserve">This round table would provide an opportunity to discuss transfer issues. Specifically, ODHE initiatives, alternative credit, PLA, reporting and SIS coding.  </w:t>
      </w:r>
    </w:p>
    <w:p w14:paraId="2AD05EB8" w14:textId="51B71F09" w:rsidR="00B938AB" w:rsidRDefault="00363F76" w:rsidP="006920EE">
      <w:pPr>
        <w:pStyle w:val="Heading3"/>
      </w:pPr>
      <w:r>
        <w:t>I am In Charge Now What?, Chris Dorsten &amp;</w:t>
      </w:r>
      <w:r w:rsidR="00B938AB">
        <w:t xml:space="preserve"> </w:t>
      </w:r>
      <w:r>
        <w:t>Molly McDermott</w:t>
      </w:r>
    </w:p>
    <w:p w14:paraId="4C4935FB" w14:textId="22731478" w:rsidR="00363F76" w:rsidRDefault="00363F76" w:rsidP="00363F76">
      <w:r>
        <w:t xml:space="preserve">Changing into a new role can be exciting and stressful. In this session two new mid-career University Registrars will discuss their transition to new roles. Topics discussed will be overcoming imposter syndrome, managing staff you did not </w:t>
      </w:r>
      <w:r w:rsidR="006920EE">
        <w:t>hire, and</w:t>
      </w:r>
      <w:r>
        <w:t xml:space="preserve"> </w:t>
      </w:r>
      <w:r w:rsidR="006920EE">
        <w:t>supervising</w:t>
      </w:r>
      <w:r>
        <w:t xml:space="preserve"> your former peers. Adding to the presentation, we will cover how we successfully ran our offices during the great resignation in era of quiet </w:t>
      </w:r>
      <w:r w:rsidR="006920EE">
        <w:t>quitting.</w:t>
      </w:r>
      <w:r>
        <w:t xml:space="preserve"> </w:t>
      </w:r>
    </w:p>
    <w:p w14:paraId="52C55420" w14:textId="2FEE8A14" w:rsidR="006920EE" w:rsidRDefault="006920EE" w:rsidP="006920EE">
      <w:pPr>
        <w:pStyle w:val="Heading2"/>
      </w:pPr>
      <w:r>
        <w:t xml:space="preserve">Thursday, </w:t>
      </w:r>
      <w:r>
        <w:t>3-3:45</w:t>
      </w:r>
      <w:r w:rsidRPr="00363F76">
        <w:t xml:space="preserve"> </w:t>
      </w:r>
      <w:r>
        <w:t>P</w:t>
      </w:r>
      <w:r w:rsidRPr="00363F76">
        <w:t>M</w:t>
      </w:r>
    </w:p>
    <w:p w14:paraId="2C094311" w14:textId="77777777" w:rsidR="00B938AB" w:rsidRDefault="00363F76" w:rsidP="006920EE">
      <w:pPr>
        <w:pStyle w:val="Heading3"/>
      </w:pPr>
      <w:r>
        <w:t>Supporting Students and Faculty with Communication Plans, Bri Lievens Pilbeam</w:t>
      </w:r>
    </w:p>
    <w:p w14:paraId="2FA8AE6F" w14:textId="79577AA7" w:rsidR="00363F76" w:rsidRDefault="00363F76" w:rsidP="00363F76">
      <w:r>
        <w:t>This session would focus on how the Registrar's Office can better support students and faculty through communications:</w:t>
      </w:r>
    </w:p>
    <w:p w14:paraId="7538A067" w14:textId="76205A26" w:rsidR="00363F76" w:rsidRDefault="00363F76" w:rsidP="00B938AB">
      <w:pPr>
        <w:pStyle w:val="ListParagraph"/>
        <w:numPr>
          <w:ilvl w:val="0"/>
          <w:numId w:val="2"/>
        </w:numPr>
      </w:pPr>
      <w:r>
        <w:t>Communicating to students, faculty regarding deadlines and processes (registration deadlines for students; grading deadlines and others for faculty)</w:t>
      </w:r>
    </w:p>
    <w:p w14:paraId="186E8595" w14:textId="522F5B8A" w:rsidR="00363F76" w:rsidRDefault="00363F76" w:rsidP="00B938AB">
      <w:pPr>
        <w:pStyle w:val="ListParagraph"/>
        <w:numPr>
          <w:ilvl w:val="0"/>
          <w:numId w:val="2"/>
        </w:numPr>
      </w:pPr>
      <w:r>
        <w:t>Working with other offices to enhance communication plans</w:t>
      </w:r>
    </w:p>
    <w:p w14:paraId="630769D6" w14:textId="7DD7A129" w:rsidR="00363F76" w:rsidRDefault="00363F76" w:rsidP="00B938AB">
      <w:pPr>
        <w:pStyle w:val="ListParagraph"/>
        <w:numPr>
          <w:ilvl w:val="0"/>
          <w:numId w:val="2"/>
        </w:numPr>
      </w:pPr>
      <w:r>
        <w:t>Utilizing AI (or not!) to strengthen communications</w:t>
      </w:r>
    </w:p>
    <w:p w14:paraId="152111C9" w14:textId="77777777" w:rsidR="00B938AB" w:rsidRDefault="00363F76" w:rsidP="006920EE">
      <w:pPr>
        <w:pStyle w:val="Heading3"/>
      </w:pPr>
      <w:r>
        <w:t>Welcoming transfer students from closed colleges, Christian Manring</w:t>
      </w:r>
    </w:p>
    <w:p w14:paraId="2E74263D" w14:textId="67D4ED6D" w:rsidR="00363F76" w:rsidRDefault="00363F76" w:rsidP="00363F76">
      <w:r>
        <w:t xml:space="preserve">A session on handling transfer students as colleges close.  What can we do moving forward if </w:t>
      </w:r>
      <w:r w:rsidR="006920EE">
        <w:t>additional</w:t>
      </w:r>
      <w:r>
        <w:t xml:space="preserve"> colleges close.  Do you have a transfer training guide?  Engage conversation with anyone who manages the </w:t>
      </w:r>
      <w:r w:rsidR="006920EE">
        <w:t>transfer</w:t>
      </w:r>
      <w:r>
        <w:t xml:space="preserve"> process or transfer staff (</w:t>
      </w:r>
      <w:r w:rsidR="006920EE">
        <w:t>admissions</w:t>
      </w:r>
      <w:r>
        <w:t>/records/academic/</w:t>
      </w:r>
      <w:proofErr w:type="spellStart"/>
      <w:r>
        <w:t>finaid</w:t>
      </w:r>
      <w:proofErr w:type="spellEnd"/>
      <w:r>
        <w:t>) including transfer or credits and possible match of financial aid.</w:t>
      </w:r>
    </w:p>
    <w:p w14:paraId="6C2FDA4E" w14:textId="77777777" w:rsidR="00B938AB" w:rsidRDefault="00363F76" w:rsidP="006920EE">
      <w:pPr>
        <w:pStyle w:val="Heading3"/>
      </w:pPr>
      <w:r>
        <w:t>Harmonizing Departmental and Institutional Visions: A Blueprint for Strategic Cohesion, Ryan Boyd</w:t>
      </w:r>
    </w:p>
    <w:p w14:paraId="38EBB06D" w14:textId="03FBC136" w:rsidR="00363F76" w:rsidRDefault="00363F76" w:rsidP="00363F76">
      <w:r>
        <w:t>This session offers a deep dive into the intricacies of aligning departmental and office mission and vision statements with broader university objectives. Focusing on enhancing institutional synergy, we will explore methodologies and frameworks that ensure departmental strategies complement and actively advance university-wide missions. This session aims to empower attendees with the tools to create a unified strategic direction that reflects both departmental uniqueness and institutional priorities.</w:t>
      </w:r>
    </w:p>
    <w:p w14:paraId="5D276979" w14:textId="0210EAE9" w:rsidR="006920EE" w:rsidRDefault="006920EE" w:rsidP="006920EE">
      <w:pPr>
        <w:pStyle w:val="Heading2"/>
      </w:pPr>
      <w:r>
        <w:t>Friday</w:t>
      </w:r>
      <w:r>
        <w:t xml:space="preserve">, </w:t>
      </w:r>
      <w:r>
        <w:t>9:15-10</w:t>
      </w:r>
      <w:r w:rsidRPr="00363F76">
        <w:t xml:space="preserve"> </w:t>
      </w:r>
      <w:r>
        <w:t>A</w:t>
      </w:r>
      <w:r w:rsidRPr="00363F76">
        <w:t>M</w:t>
      </w:r>
    </w:p>
    <w:p w14:paraId="6D639E80" w14:textId="77777777" w:rsidR="00B938AB" w:rsidRDefault="00363F76" w:rsidP="006920EE">
      <w:pPr>
        <w:pStyle w:val="Heading3"/>
      </w:pPr>
      <w:r>
        <w:t>Round Table: ATC Transition Check In, Michelle Rable</w:t>
      </w:r>
    </w:p>
    <w:p w14:paraId="44DC1D44" w14:textId="051763FD" w:rsidR="00363F76" w:rsidRDefault="00363F76" w:rsidP="00363F76">
      <w:r>
        <w:t xml:space="preserve">This session would provide the opportunity to discuss the ATC transition. Discussion of what institutions are currently experiencing receiving or not receiving .xml transcripts. </w:t>
      </w:r>
    </w:p>
    <w:p w14:paraId="24909FE5" w14:textId="77777777" w:rsidR="00B938AB" w:rsidRDefault="00363F76" w:rsidP="006920EE">
      <w:pPr>
        <w:pStyle w:val="Heading3"/>
      </w:pPr>
      <w:r>
        <w:lastRenderedPageBreak/>
        <w:t>EM Strategies - Roundtable, Dave Shaffer</w:t>
      </w:r>
    </w:p>
    <w:p w14:paraId="4272C2F2" w14:textId="17267EB8" w:rsidR="00533EA8" w:rsidRDefault="00363F76" w:rsidP="00363F76">
      <w:r>
        <w:t xml:space="preserve">What is your campus doing to boost enrollment/registration?  What campaigns, activities, communications are being that have been successful while also keeping costs low?  What have you done that was unsuccessful?  This can be from two standpoints of enrolling new freshman and/or registration for continuing </w:t>
      </w:r>
      <w:r w:rsidR="00B938AB">
        <w:t>students</w:t>
      </w:r>
      <w:r>
        <w:t xml:space="preserve"> (retention).</w:t>
      </w:r>
    </w:p>
    <w:p w14:paraId="18DF610B" w14:textId="717290E9" w:rsidR="006920EE" w:rsidRDefault="006920EE" w:rsidP="006920EE">
      <w:pPr>
        <w:pStyle w:val="Heading3"/>
      </w:pPr>
      <w:r>
        <w:t>Private School Meeting, Christine Court</w:t>
      </w:r>
    </w:p>
    <w:sectPr w:rsidR="0069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169E"/>
    <w:multiLevelType w:val="hybridMultilevel"/>
    <w:tmpl w:val="9E7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06543"/>
    <w:multiLevelType w:val="multilevel"/>
    <w:tmpl w:val="C134689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1005529">
    <w:abstractNumId w:val="1"/>
  </w:num>
  <w:num w:numId="2" w16cid:durableId="109524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76"/>
    <w:rsid w:val="00315A5E"/>
    <w:rsid w:val="00363F76"/>
    <w:rsid w:val="00533EA8"/>
    <w:rsid w:val="006920EE"/>
    <w:rsid w:val="006F1B9D"/>
    <w:rsid w:val="00B938AB"/>
    <w:rsid w:val="00CF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CDE2"/>
  <w15:chartTrackingRefBased/>
  <w15:docId w15:val="{B37A9065-7471-44D8-9FC6-6FE5BCF6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76"/>
  </w:style>
  <w:style w:type="paragraph" w:styleId="Heading1">
    <w:name w:val="heading 1"/>
    <w:basedOn w:val="Normal"/>
    <w:next w:val="Normal"/>
    <w:link w:val="Heading1Char"/>
    <w:uiPriority w:val="9"/>
    <w:qFormat/>
    <w:rsid w:val="00363F7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363F7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363F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63F7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63F7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63F7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63F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63F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63F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315A5E"/>
    <w:pPr>
      <w:numPr>
        <w:numId w:val="1"/>
      </w:numPr>
    </w:pPr>
  </w:style>
  <w:style w:type="character" w:customStyle="1" w:styleId="Heading1Char">
    <w:name w:val="Heading 1 Char"/>
    <w:basedOn w:val="DefaultParagraphFont"/>
    <w:link w:val="Heading1"/>
    <w:uiPriority w:val="9"/>
    <w:rsid w:val="00363F76"/>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363F76"/>
    <w:rPr>
      <w:rFonts w:asciiTheme="majorHAnsi" w:eastAsiaTheme="majorEastAsia" w:hAnsiTheme="majorHAnsi" w:cstheme="majorBidi"/>
      <w:color w:val="2F5496" w:themeColor="accent1" w:themeShade="BF"/>
      <w:sz w:val="28"/>
      <w:szCs w:val="28"/>
    </w:rPr>
  </w:style>
  <w:style w:type="paragraph" w:styleId="Quote">
    <w:name w:val="Quote"/>
    <w:basedOn w:val="Normal"/>
    <w:next w:val="Normal"/>
    <w:link w:val="QuoteChar"/>
    <w:uiPriority w:val="29"/>
    <w:qFormat/>
    <w:rsid w:val="00363F7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63F76"/>
    <w:rPr>
      <w:i/>
      <w:iCs/>
    </w:rPr>
  </w:style>
  <w:style w:type="character" w:customStyle="1" w:styleId="Heading3Char">
    <w:name w:val="Heading 3 Char"/>
    <w:basedOn w:val="DefaultParagraphFont"/>
    <w:link w:val="Heading3"/>
    <w:uiPriority w:val="9"/>
    <w:rsid w:val="00363F7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63F7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63F7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63F7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63F7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63F7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63F76"/>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363F7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63F7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363F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63F76"/>
    <w:rPr>
      <w:rFonts w:asciiTheme="majorHAnsi" w:eastAsiaTheme="majorEastAsia" w:hAnsiTheme="majorHAnsi" w:cstheme="majorBidi"/>
      <w:color w:val="404040" w:themeColor="text1" w:themeTint="BF"/>
      <w:sz w:val="30"/>
      <w:szCs w:val="30"/>
    </w:rPr>
  </w:style>
  <w:style w:type="paragraph" w:styleId="ListParagraph">
    <w:name w:val="List Paragraph"/>
    <w:basedOn w:val="Normal"/>
    <w:uiPriority w:val="34"/>
    <w:qFormat/>
    <w:rsid w:val="00363F76"/>
    <w:pPr>
      <w:ind w:left="720"/>
      <w:contextualSpacing/>
    </w:pPr>
  </w:style>
  <w:style w:type="character" w:styleId="IntenseEmphasis">
    <w:name w:val="Intense Emphasis"/>
    <w:basedOn w:val="DefaultParagraphFont"/>
    <w:uiPriority w:val="21"/>
    <w:qFormat/>
    <w:rsid w:val="00363F76"/>
    <w:rPr>
      <w:b/>
      <w:bCs/>
      <w:i/>
      <w:iCs/>
    </w:rPr>
  </w:style>
  <w:style w:type="paragraph" w:styleId="IntenseQuote">
    <w:name w:val="Intense Quote"/>
    <w:basedOn w:val="Normal"/>
    <w:next w:val="Normal"/>
    <w:link w:val="IntenseQuoteChar"/>
    <w:uiPriority w:val="30"/>
    <w:qFormat/>
    <w:rsid w:val="00363F7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63F76"/>
    <w:rPr>
      <w:rFonts w:asciiTheme="majorHAnsi" w:eastAsiaTheme="majorEastAsia" w:hAnsiTheme="majorHAnsi" w:cstheme="majorBidi"/>
      <w:color w:val="4472C4" w:themeColor="accent1"/>
      <w:sz w:val="28"/>
      <w:szCs w:val="28"/>
    </w:rPr>
  </w:style>
  <w:style w:type="character" w:styleId="IntenseReference">
    <w:name w:val="Intense Reference"/>
    <w:basedOn w:val="DefaultParagraphFont"/>
    <w:uiPriority w:val="32"/>
    <w:qFormat/>
    <w:rsid w:val="00363F76"/>
    <w:rPr>
      <w:b/>
      <w:bCs/>
      <w:smallCaps/>
      <w:u w:val="single"/>
    </w:rPr>
  </w:style>
  <w:style w:type="paragraph" w:styleId="Caption">
    <w:name w:val="caption"/>
    <w:basedOn w:val="Normal"/>
    <w:next w:val="Normal"/>
    <w:uiPriority w:val="35"/>
    <w:semiHidden/>
    <w:unhideWhenUsed/>
    <w:qFormat/>
    <w:rsid w:val="00363F76"/>
    <w:pPr>
      <w:spacing w:line="240" w:lineRule="auto"/>
    </w:pPr>
    <w:rPr>
      <w:b/>
      <w:bCs/>
      <w:color w:val="404040" w:themeColor="text1" w:themeTint="BF"/>
      <w:sz w:val="20"/>
      <w:szCs w:val="20"/>
    </w:rPr>
  </w:style>
  <w:style w:type="character" w:styleId="Strong">
    <w:name w:val="Strong"/>
    <w:basedOn w:val="DefaultParagraphFont"/>
    <w:uiPriority w:val="22"/>
    <w:qFormat/>
    <w:rsid w:val="00363F76"/>
    <w:rPr>
      <w:b/>
      <w:bCs/>
    </w:rPr>
  </w:style>
  <w:style w:type="character" w:styleId="Emphasis">
    <w:name w:val="Emphasis"/>
    <w:basedOn w:val="DefaultParagraphFont"/>
    <w:uiPriority w:val="20"/>
    <w:qFormat/>
    <w:rsid w:val="00363F76"/>
    <w:rPr>
      <w:i/>
      <w:iCs/>
    </w:rPr>
  </w:style>
  <w:style w:type="paragraph" w:styleId="NoSpacing">
    <w:name w:val="No Spacing"/>
    <w:uiPriority w:val="1"/>
    <w:qFormat/>
    <w:rsid w:val="00363F76"/>
    <w:pPr>
      <w:spacing w:after="0" w:line="240" w:lineRule="auto"/>
    </w:pPr>
  </w:style>
  <w:style w:type="character" w:styleId="SubtleEmphasis">
    <w:name w:val="Subtle Emphasis"/>
    <w:basedOn w:val="DefaultParagraphFont"/>
    <w:uiPriority w:val="19"/>
    <w:qFormat/>
    <w:rsid w:val="00363F76"/>
    <w:rPr>
      <w:i/>
      <w:iCs/>
      <w:color w:val="595959" w:themeColor="text1" w:themeTint="A6"/>
    </w:rPr>
  </w:style>
  <w:style w:type="character" w:styleId="SubtleReference">
    <w:name w:val="Subtle Reference"/>
    <w:basedOn w:val="DefaultParagraphFont"/>
    <w:uiPriority w:val="31"/>
    <w:qFormat/>
    <w:rsid w:val="00363F76"/>
    <w:rPr>
      <w:smallCaps/>
      <w:color w:val="404040" w:themeColor="text1" w:themeTint="BF"/>
    </w:rPr>
  </w:style>
  <w:style w:type="character" w:styleId="BookTitle">
    <w:name w:val="Book Title"/>
    <w:basedOn w:val="DefaultParagraphFont"/>
    <w:uiPriority w:val="33"/>
    <w:qFormat/>
    <w:rsid w:val="00363F76"/>
    <w:rPr>
      <w:b/>
      <w:bCs/>
      <w:smallCaps/>
    </w:rPr>
  </w:style>
  <w:style w:type="paragraph" w:styleId="TOCHeading">
    <w:name w:val="TOC Heading"/>
    <w:basedOn w:val="Heading1"/>
    <w:next w:val="Normal"/>
    <w:uiPriority w:val="39"/>
    <w:semiHidden/>
    <w:unhideWhenUsed/>
    <w:qFormat/>
    <w:rsid w:val="00363F7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9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D60A5-3EE3-454D-88F5-6BADD998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Terra State Community College</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Steinberger, Eric J</dc:creator>
  <cp:keywords/>
  <dc:description/>
  <cp:lastModifiedBy>Steinberger, Eric J</cp:lastModifiedBy>
  <cp:revision>1</cp:revision>
  <dcterms:created xsi:type="dcterms:W3CDTF">2024-06-27T16:25:00Z</dcterms:created>
  <dcterms:modified xsi:type="dcterms:W3CDTF">2024-06-27T17:02:00Z</dcterms:modified>
</cp:coreProperties>
</file>